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ff1a" w14:textId="b8af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15 июля 2011 г. №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2022 года № 120.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и пункта 2.10 перечня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распоряжением Совета Евразийской экономической комиссии от 17 марта 2022 г. № 12,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Решения Комиссии Таможенного союза от 15 июля 2011 г. № 710 "О принятии технических регламентов Таможенного союза "О безопасности железнодорожного подвижного состава", "О безопасности высокоскоростного железнодорожного транспорта" и "О безопасности инфраструктуры железнодорожного транспорта" дополнить словами ", а также полувагоны 12-9920 и 12-9941 (в части подшипников качения роликовых для букс железнодорожного подвижного состава (конических))".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июля 2022 г.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