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ff1a" w14:textId="b8af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Комиссии Таможенного союза от 15 июля 2011 г. № 710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августа 2022 года № 120.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и пункта 2.10 перечня мер по повышению устойчивости экономик государств – членов Евразийского экономического союза, включая обеспечение макроэкономической стабильности, утвержденного распоряжением Совета Евразийской экономической комиссии от 17 марта 2022 г. № 12,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подпункта 3.3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Решения Комиссии Таможенного союза от 15 июля 2011 г. № 710 "О принятии технических регламентов Таможенного союза "О безопасности железнодорожного подвижного состава", "О безопасности высокоскоростного железнодорожного транспорта" и "О безопасности инфраструктуры железнодорожного транспорта" дополнить словами ", а также полувагоны 12-9920 и 12-9941 (в части подшипников качения роликовых для букс железнодорожного подвижного состава (конических))".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1 июля 2022 г.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