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b443" w14:textId="a88b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отсутствии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22 ноября 2022 года № 183.</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реализации взрывчатых веществ и средств инициирования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нормативных правовых актов, входящих в право Евразийского экономического союза (далее – Союз)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xml:space="preserve">
      1. Признать отсутствие в действиях акционерного общества "Новосибирский механический завод "Искра" (Российская Федерация, Новосибирская обл., г. Новосибирск, ул. Чекалина, д. 8, ОГРН 1115476008890, дата регистрации 1 февраля 2011 г., ИНН 5410039642) и группы лиц в составе товарищества с ограниченной ответственностью "Научно-производственное предприятие "Интеррин" (Республика Казахстан, г. Алматы, ул. Карасай Батыра, д. 146, РН 11325-1910-ТОО, РНН 600400073699, дата регистрации 27 мая 1997 г., БИН 970540002768) и товарищества с ограниченной ответственностью "Искра-Сервис" (Республика Казахстан, г. Алматы, ул. Карасай Батыра, д. 146, РНН 600700712406, дата регистрации 12 ноября 2014 г., БИН 141140009631), акционерного общества "Промсинтез" (Российская Федерация, Самарская обл., г. Чапаевск, ул. Куйбышева, д. 1, ОГРН 1026303178428, дата регистрации 26 ноября 2002 г., ИНН 212403660816), федерального казенного предприятия "Завод имени Я.М. Свердлова" (Российская Федерация, Нижегородская обл., г. Дзержинск, пр. Свердлова, д. 4, ОГРН 1025201752982, дата регистрации 6 ноября 2002 г., ИНН 770408202159) и группы лиц в составе акционерного общества "Русперфоратор" (Российская Федерация, г. Москва, Подольское шоссе, д. 8, корп. 5, сек. 3, ОГРН 1037739371020, дата регистрации 3 февраля 2003 г., ИНН 631625002979) и товарищества с ограниченной ответственностью "Промвзрыв" (Республика Казахстан, г. Алматы, Бостандыкский р-н, пр. Абая, д. 10А, РН 328-1910-01-ТОО, РНН 600900166470, дата регистрации 24 ноября 2004 г., БИН 041140008078)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 о Евразийском экономическом союзе от 29 мая 2014 года и прекратить рассмотрение дела.</w:t>
      </w:r>
    </w:p>
    <w:bookmarkEnd w:id="2"/>
    <w:bookmarkStart w:name="z7" w:id="3"/>
    <w:p>
      <w:pPr>
        <w:spacing w:after="0"/>
        <w:ind w:left="0"/>
        <w:jc w:val="both"/>
      </w:pPr>
      <w:r>
        <w:rPr>
          <w:rFonts w:ascii="Times New Roman"/>
          <w:b w:val="false"/>
          <w:i w:val="false"/>
          <w:color w:val="000000"/>
          <w:sz w:val="28"/>
        </w:rPr>
        <w:t>
      2. Настоящее Решение может быть обжаловано в установленном порядке в Суд Союза.</w:t>
      </w:r>
    </w:p>
    <w:bookmarkEnd w:id="3"/>
    <w:bookmarkStart w:name="z8" w:id="4"/>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22 ноября 2022 г. № 183 </w:t>
            </w:r>
          </w:p>
        </w:tc>
      </w:tr>
    </w:tbl>
    <w:bookmarkStart w:name="z11" w:id="5"/>
    <w:p>
      <w:pPr>
        <w:spacing w:after="0"/>
        <w:ind w:left="0"/>
        <w:jc w:val="left"/>
      </w:pPr>
      <w:r>
        <w:rPr>
          <w:rFonts w:ascii="Times New Roman"/>
          <w:b/>
          <w:i w:val="false"/>
          <w:color w:val="000000"/>
        </w:rPr>
        <w:t xml:space="preserve"> ОПИСАТЕЛЬНАЯ И МОТИВИРОВОЧНАЯ ЧАСТИ</w:t>
      </w:r>
    </w:p>
    <w:bookmarkEnd w:id="5"/>
    <w:bookmarkStart w:name="z12" w:id="6"/>
    <w:p>
      <w:pPr>
        <w:spacing w:after="0"/>
        <w:ind w:left="0"/>
        <w:jc w:val="left"/>
      </w:pPr>
      <w:r>
        <w:rPr>
          <w:rFonts w:ascii="Times New Roman"/>
          <w:b/>
          <w:i w:val="false"/>
          <w:color w:val="000000"/>
        </w:rPr>
        <w:t xml:space="preserve"> Решения Коллегии Евразийской экономической комиссии от 22 ноября 2022 г. № 183 </w:t>
      </w:r>
    </w:p>
    <w:bookmarkEnd w:id="6"/>
    <w:bookmarkStart w:name="z13" w:id="7"/>
    <w:p>
      <w:pPr>
        <w:spacing w:after="0"/>
        <w:ind w:left="0"/>
        <w:jc w:val="both"/>
      </w:pPr>
      <w:r>
        <w:rPr>
          <w:rFonts w:ascii="Times New Roman"/>
          <w:b w:val="false"/>
          <w:i w:val="false"/>
          <w:color w:val="000000"/>
          <w:sz w:val="28"/>
        </w:rPr>
        <w:t xml:space="preserve">
      В Евразийскую экономическую комиссию (далее – Комиссия) поступили материалы Министерства национальной экономики Республики Казахстан (письмо от 22 октября 2018 г. № 35-10/235-И) о наличии возможных признаков нарушения общих правил конкуренции на трансграничных рынках, нарушающих положения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 по результатам рассмотрения которых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w:t>
      </w:r>
      <w:r>
        <w:rPr>
          <w:rFonts w:ascii="Times New Roman"/>
          <w:b w:val="false"/>
          <w:i w:val="false"/>
          <w:color w:val="000000"/>
          <w:sz w:val="28"/>
        </w:rPr>
        <w:t>Протоколом</w:t>
      </w:r>
      <w:r>
        <w:rPr>
          <w:rFonts w:ascii="Times New Roman"/>
          <w:b w:val="false"/>
          <w:i w:val="false"/>
          <w:color w:val="000000"/>
          <w:sz w:val="28"/>
        </w:rPr>
        <w:t xml:space="preserve"> об общих принципах и правилах конкуренции (приложение № 19 к Договору) (далее – Протокол)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19 декабря 2018 г. № 54/опр (далее – расследование) в связи с наличием возможных признаков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 и провела соответствующее расследование в отношении следующих лиц (далее – ответчики):</w:t>
      </w:r>
    </w:p>
    <w:bookmarkEnd w:id="7"/>
    <w:bookmarkStart w:name="z14" w:id="8"/>
    <w:p>
      <w:pPr>
        <w:spacing w:after="0"/>
        <w:ind w:left="0"/>
        <w:jc w:val="both"/>
      </w:pPr>
      <w:r>
        <w:rPr>
          <w:rFonts w:ascii="Times New Roman"/>
          <w:b w:val="false"/>
          <w:i w:val="false"/>
          <w:color w:val="000000"/>
          <w:sz w:val="28"/>
        </w:rPr>
        <w:t>
      акционерное общество "Новосибирский механический завод "Искра" (Российская Федерация, Новосибирская обл., г. Новосибирск, ул. Чекалина, д. 8, ОГРН 1115476008890, дата регистрации 1 февраля 2011 г., ИНН 5410039642) (далее – АО "НМЗ "Искра");</w:t>
      </w:r>
    </w:p>
    <w:bookmarkEnd w:id="8"/>
    <w:bookmarkStart w:name="z15" w:id="9"/>
    <w:p>
      <w:pPr>
        <w:spacing w:after="0"/>
        <w:ind w:left="0"/>
        <w:jc w:val="both"/>
      </w:pPr>
      <w:r>
        <w:rPr>
          <w:rFonts w:ascii="Times New Roman"/>
          <w:b w:val="false"/>
          <w:i w:val="false"/>
          <w:color w:val="000000"/>
          <w:sz w:val="28"/>
        </w:rPr>
        <w:t>
      акционерное общество "Промсинтез" (Российская Федерация, Самарская обл., г. Чапаевск, ул. Куйбышева, д. 1, ОГРН 1026303178428, дата регистрации 26 ноября 2002 г., ИНН 212403660816) (далее – АО "Промсинтез");</w:t>
      </w:r>
    </w:p>
    <w:bookmarkEnd w:id="9"/>
    <w:bookmarkStart w:name="z16" w:id="10"/>
    <w:p>
      <w:pPr>
        <w:spacing w:after="0"/>
        <w:ind w:left="0"/>
        <w:jc w:val="both"/>
      </w:pPr>
      <w:r>
        <w:rPr>
          <w:rFonts w:ascii="Times New Roman"/>
          <w:b w:val="false"/>
          <w:i w:val="false"/>
          <w:color w:val="000000"/>
          <w:sz w:val="28"/>
        </w:rPr>
        <w:t>
      федеральное казенное предприятие "Завод имени Я.М. Свердлова" (Российская Федерация, Нижегородская обл., г. Дзержинск, пр. Свердлова, д. 4, ОГРН 1025201752982, дата регистрации 6 ноября 2002 г., ИНН 770408202159) (далее – ФКП "Завод имени Я.М. Свердлова");</w:t>
      </w:r>
    </w:p>
    <w:bookmarkEnd w:id="10"/>
    <w:bookmarkStart w:name="z17" w:id="11"/>
    <w:p>
      <w:pPr>
        <w:spacing w:after="0"/>
        <w:ind w:left="0"/>
        <w:jc w:val="both"/>
      </w:pPr>
      <w:r>
        <w:rPr>
          <w:rFonts w:ascii="Times New Roman"/>
          <w:b w:val="false"/>
          <w:i w:val="false"/>
          <w:color w:val="000000"/>
          <w:sz w:val="28"/>
        </w:rPr>
        <w:t>
      группа лиц в составе товарищества с ограниченной ответственностью "Научно-производственное предприятие "Интеррин" (Республика Казахстан, г. Алматы, ул. Карасай Батыра, д. 146, РН 11325-1910-ТОО, РНН 600400073699, дата регистрации 27 мая 1997 г., БИН 970540002768) (далее – ТОО "НПП "Интеррин") и товарищества с ограниченной ответственностью "Искра-Сервис" (Республика Казахстан, г. Алматы, ул. Карасай Батыра, д. 146, РНН 600700712406, дата регистрации 12 ноября 2014 г., БИН 141140009631) (далее – ТОО "Искра-Сервис");</w:t>
      </w:r>
    </w:p>
    <w:bookmarkEnd w:id="11"/>
    <w:bookmarkStart w:name="z18" w:id="12"/>
    <w:p>
      <w:pPr>
        <w:spacing w:after="0"/>
        <w:ind w:left="0"/>
        <w:jc w:val="both"/>
      </w:pPr>
      <w:r>
        <w:rPr>
          <w:rFonts w:ascii="Times New Roman"/>
          <w:b w:val="false"/>
          <w:i w:val="false"/>
          <w:color w:val="000000"/>
          <w:sz w:val="28"/>
        </w:rPr>
        <w:t>
      группа лиц в составе акционерного общества "Русперфоратор" (Российская Федерация, г. Москва, Подольское шоссе, д. 8, корп. 5, сек. 3, ОГРН 1037739371020, дата регистрации 3 февраля 2003 г., ИНН 631625002979) (далее – АО "Русперфоратор") и товарищества с ограниченной ответственностью "Промвзрыв" (Республика Казахстан, г. Алматы, Бостандыкский р-н, пр. Абая, д. 10А, РН 328-1910-01-ТОО, РНН 600900166470, дата регистрации 24 ноября 2004 г., БИН 041140008078) (далее – ТОО "Промвзрыв").</w:t>
      </w:r>
    </w:p>
    <w:bookmarkEnd w:id="12"/>
    <w:bookmarkStart w:name="z19" w:id="13"/>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23 апреля 2019 г. № 19/опр продлила срок проведения расследования на 60 рабочих дней. </w:t>
      </w:r>
    </w:p>
    <w:bookmarkEnd w:id="13"/>
    <w:bookmarkStart w:name="z20" w:id="14"/>
    <w:p>
      <w:pPr>
        <w:spacing w:after="0"/>
        <w:ind w:left="0"/>
        <w:jc w:val="both"/>
      </w:pPr>
      <w:r>
        <w:rPr>
          <w:rFonts w:ascii="Times New Roman"/>
          <w:b w:val="false"/>
          <w:i w:val="false"/>
          <w:color w:val="000000"/>
          <w:sz w:val="28"/>
        </w:rPr>
        <w:t xml:space="preserve">
      В соответствии с подпунктами 2 и 3 </w:t>
      </w:r>
      <w:r>
        <w:rPr>
          <w:rFonts w:ascii="Times New Roman"/>
          <w:b w:val="false"/>
          <w:i w:val="false"/>
          <w:color w:val="000000"/>
          <w:sz w:val="28"/>
        </w:rPr>
        <w:t>пункта 10</w:t>
      </w:r>
      <w:r>
        <w:rPr>
          <w:rFonts w:ascii="Times New Roman"/>
          <w:b w:val="false"/>
          <w:i w:val="false"/>
          <w:color w:val="000000"/>
          <w:sz w:val="28"/>
        </w:rPr>
        <w:t xml:space="preserve"> Протокола, </w:t>
      </w:r>
      <w:r>
        <w:rPr>
          <w:rFonts w:ascii="Times New Roman"/>
          <w:b w:val="false"/>
          <w:i w:val="false"/>
          <w:color w:val="000000"/>
          <w:sz w:val="28"/>
        </w:rPr>
        <w:t>подпунктом 1</w:t>
      </w:r>
      <w:r>
        <w:rPr>
          <w:rFonts w:ascii="Times New Roman"/>
          <w:b w:val="false"/>
          <w:i w:val="false"/>
          <w:color w:val="000000"/>
          <w:sz w:val="28"/>
        </w:rPr>
        <w:t xml:space="preserve"> пункта 11, </w:t>
      </w:r>
      <w:r>
        <w:rPr>
          <w:rFonts w:ascii="Times New Roman"/>
          <w:b w:val="false"/>
          <w:i w:val="false"/>
          <w:color w:val="000000"/>
          <w:sz w:val="28"/>
        </w:rPr>
        <w:t>пунктами 13</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Порядка проведения расследования, </w:t>
      </w:r>
      <w:r>
        <w:rPr>
          <w:rFonts w:ascii="Times New Roman"/>
          <w:b w:val="false"/>
          <w:i w:val="false"/>
          <w:color w:val="000000"/>
          <w:sz w:val="28"/>
        </w:rPr>
        <w:t>пунктом 2</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в связи с выявлением в ходе расследования признаков нарушения общих правил конкуренции на трансграничных рынках возбуждено дело о нарушении общих правил конкуренции на трансграничных рынках (далее – дело) и создана комиссия по его рассмотрению, о чем вынесено соответствующее определение от 23 июля 2019 г. № 39/опр. </w:t>
      </w:r>
    </w:p>
    <w:bookmarkEnd w:id="14"/>
    <w:bookmarkStart w:name="z21" w:id="1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Порядка рассмотрения дел в связи с необходимостью получения дополнительной информации для принятия решения комиссией по рассмотрению дела продлен срок рассмотрения дела на 60 рабочих дней, о чем вынесено соответствующее определение от 14 октября 2019 г. № 52/опр. Также указанным определением в связи с назначением и проведением экспертизы рассмотрение дела приостановлено.</w:t>
      </w:r>
    </w:p>
    <w:bookmarkEnd w:id="15"/>
    <w:bookmarkStart w:name="z22" w:id="16"/>
    <w:p>
      <w:pPr>
        <w:spacing w:after="0"/>
        <w:ind w:left="0"/>
        <w:jc w:val="both"/>
      </w:pPr>
      <w:r>
        <w:rPr>
          <w:rFonts w:ascii="Times New Roman"/>
          <w:b w:val="false"/>
          <w:i w:val="false"/>
          <w:color w:val="000000"/>
          <w:sz w:val="28"/>
        </w:rPr>
        <w:t xml:space="preserve">
      18 ноября 2021 г. рассмотрение дела возобновлено в связи с поступлением ответов от экспертных организаций. </w:t>
      </w:r>
    </w:p>
    <w:bookmarkEnd w:id="16"/>
    <w:bookmarkStart w:name="z23" w:id="1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17 февраля 2022 г. председателем комиссии по рассмотрению дела,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7"/>
    <w:bookmarkStart w:name="z24" w:id="18"/>
    <w:p>
      <w:pPr>
        <w:spacing w:after="0"/>
        <w:ind w:left="0"/>
        <w:jc w:val="both"/>
      </w:pPr>
      <w:r>
        <w:rPr>
          <w:rFonts w:ascii="Times New Roman"/>
          <w:b w:val="false"/>
          <w:i w:val="false"/>
          <w:color w:val="000000"/>
          <w:sz w:val="28"/>
        </w:rPr>
        <w:t>
      заместителя председателя комиссии по рассмотрению дела Калиева А.А., заместителя директора Департамента;</w:t>
      </w:r>
    </w:p>
    <w:bookmarkEnd w:id="18"/>
    <w:bookmarkStart w:name="z25" w:id="19"/>
    <w:p>
      <w:pPr>
        <w:spacing w:after="0"/>
        <w:ind w:left="0"/>
        <w:jc w:val="both"/>
      </w:pPr>
      <w:r>
        <w:rPr>
          <w:rFonts w:ascii="Times New Roman"/>
          <w:b w:val="false"/>
          <w:i w:val="false"/>
          <w:color w:val="000000"/>
          <w:sz w:val="28"/>
        </w:rPr>
        <w:t>
      члена комиссии по рассмотрению дела Кривцуна Е.П., советника отдела рассмотрения заявлений (материалов) и дел о нарушении общих правил конкуренции Департамента;</w:t>
      </w:r>
    </w:p>
    <w:bookmarkEnd w:id="19"/>
    <w:bookmarkStart w:name="z26" w:id="20"/>
    <w:p>
      <w:pPr>
        <w:spacing w:after="0"/>
        <w:ind w:left="0"/>
        <w:jc w:val="both"/>
      </w:pPr>
      <w:r>
        <w:rPr>
          <w:rFonts w:ascii="Times New Roman"/>
          <w:b w:val="false"/>
          <w:i w:val="false"/>
          <w:color w:val="000000"/>
          <w:sz w:val="28"/>
        </w:rPr>
        <w:t>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w:t>
      </w:r>
    </w:p>
    <w:bookmarkEnd w:id="20"/>
    <w:bookmarkStart w:name="z27" w:id="21"/>
    <w:p>
      <w:pPr>
        <w:spacing w:after="0"/>
        <w:ind w:left="0"/>
        <w:jc w:val="both"/>
      </w:pPr>
      <w:r>
        <w:rPr>
          <w:rFonts w:ascii="Times New Roman"/>
          <w:b w:val="false"/>
          <w:i w:val="false"/>
          <w:color w:val="000000"/>
          <w:sz w:val="28"/>
        </w:rPr>
        <w:t xml:space="preserve">
      Турдубаевой Г.К., главного специалиста отдела по вопросам взаимодействия с ЕЭК, международного сотрудничества и связям с общественностью Службы антимонопольного регулирования при Министерстве экономики и коммерции Кыргызской Республики; </w:t>
      </w:r>
    </w:p>
    <w:bookmarkEnd w:id="21"/>
    <w:bookmarkStart w:name="z28" w:id="22"/>
    <w:p>
      <w:pPr>
        <w:spacing w:after="0"/>
        <w:ind w:left="0"/>
        <w:jc w:val="both"/>
      </w:pPr>
      <w:r>
        <w:rPr>
          <w:rFonts w:ascii="Times New Roman"/>
          <w:b w:val="false"/>
          <w:i w:val="false"/>
          <w:color w:val="000000"/>
          <w:sz w:val="28"/>
        </w:rPr>
        <w:t>
      Сметанина Д.А., заместителя начальника отдела расследований на товарных рынках Управления по борьбе с картелями Федеральной антимонопольной службы;</w:t>
      </w:r>
    </w:p>
    <w:bookmarkEnd w:id="22"/>
    <w:bookmarkStart w:name="z29" w:id="23"/>
    <w:p>
      <w:pPr>
        <w:spacing w:after="0"/>
        <w:ind w:left="0"/>
        <w:jc w:val="both"/>
      </w:pPr>
      <w:r>
        <w:rPr>
          <w:rFonts w:ascii="Times New Roman"/>
          <w:b w:val="false"/>
          <w:i w:val="false"/>
          <w:color w:val="000000"/>
          <w:sz w:val="28"/>
        </w:rPr>
        <w:t>
      Тихоновой Ю.В.,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w:t>
      </w:r>
    </w:p>
    <w:bookmarkEnd w:id="23"/>
    <w:bookmarkStart w:name="z30" w:id="24"/>
    <w:p>
      <w:pPr>
        <w:spacing w:after="0"/>
        <w:ind w:left="0"/>
        <w:jc w:val="both"/>
      </w:pPr>
      <w:r>
        <w:rPr>
          <w:rFonts w:ascii="Times New Roman"/>
          <w:b w:val="false"/>
          <w:i w:val="false"/>
          <w:color w:val="000000"/>
          <w:sz w:val="28"/>
        </w:rPr>
        <w:t xml:space="preserve">
      представителей ответчиков: </w:t>
      </w:r>
    </w:p>
    <w:bookmarkEnd w:id="24"/>
    <w:bookmarkStart w:name="z31" w:id="25"/>
    <w:p>
      <w:pPr>
        <w:spacing w:after="0"/>
        <w:ind w:left="0"/>
        <w:jc w:val="both"/>
      </w:pPr>
      <w:r>
        <w:rPr>
          <w:rFonts w:ascii="Times New Roman"/>
          <w:b w:val="false"/>
          <w:i w:val="false"/>
          <w:color w:val="000000"/>
          <w:sz w:val="28"/>
        </w:rPr>
        <w:t>
      Вандакурова А.А., представителя по доверенности АО "НМЗ "Искра";</w:t>
      </w:r>
    </w:p>
    <w:bookmarkEnd w:id="25"/>
    <w:bookmarkStart w:name="z32" w:id="26"/>
    <w:p>
      <w:pPr>
        <w:spacing w:after="0"/>
        <w:ind w:left="0"/>
        <w:jc w:val="both"/>
      </w:pPr>
      <w:r>
        <w:rPr>
          <w:rFonts w:ascii="Times New Roman"/>
          <w:b w:val="false"/>
          <w:i w:val="false"/>
          <w:color w:val="000000"/>
          <w:sz w:val="28"/>
        </w:rPr>
        <w:t>
      Ильясова К.У., представителя по доверенности ТОО "Искра-Сервис" и ТОО "НПП "Интеррин";</w:t>
      </w:r>
    </w:p>
    <w:bookmarkEnd w:id="26"/>
    <w:bookmarkStart w:name="z33" w:id="27"/>
    <w:p>
      <w:pPr>
        <w:spacing w:after="0"/>
        <w:ind w:left="0"/>
        <w:jc w:val="both"/>
      </w:pPr>
      <w:r>
        <w:rPr>
          <w:rFonts w:ascii="Times New Roman"/>
          <w:b w:val="false"/>
          <w:i w:val="false"/>
          <w:color w:val="000000"/>
          <w:sz w:val="28"/>
        </w:rPr>
        <w:t>
      Костюченко Д.А., генерального директора ТОО "Искра-Сервис";</w:t>
      </w:r>
    </w:p>
    <w:bookmarkEnd w:id="27"/>
    <w:bookmarkStart w:name="z34" w:id="28"/>
    <w:p>
      <w:pPr>
        <w:spacing w:after="0"/>
        <w:ind w:left="0"/>
        <w:jc w:val="both"/>
      </w:pPr>
      <w:r>
        <w:rPr>
          <w:rFonts w:ascii="Times New Roman"/>
          <w:b w:val="false"/>
          <w:i w:val="false"/>
          <w:color w:val="000000"/>
          <w:sz w:val="28"/>
        </w:rPr>
        <w:t xml:space="preserve">
      Котловой И.В., представителя по доверенности АО "Русперфоратор"; </w:t>
      </w:r>
    </w:p>
    <w:bookmarkEnd w:id="28"/>
    <w:bookmarkStart w:name="z35" w:id="29"/>
    <w:p>
      <w:pPr>
        <w:spacing w:after="0"/>
        <w:ind w:left="0"/>
        <w:jc w:val="both"/>
      </w:pPr>
      <w:r>
        <w:rPr>
          <w:rFonts w:ascii="Times New Roman"/>
          <w:b w:val="false"/>
          <w:i w:val="false"/>
          <w:color w:val="000000"/>
          <w:sz w:val="28"/>
        </w:rPr>
        <w:t>
      Лещенко Т.В., представителя по доверенности АО "Промсинтез";</w:t>
      </w:r>
    </w:p>
    <w:bookmarkEnd w:id="29"/>
    <w:bookmarkStart w:name="z36" w:id="30"/>
    <w:p>
      <w:pPr>
        <w:spacing w:after="0"/>
        <w:ind w:left="0"/>
        <w:jc w:val="both"/>
      </w:pPr>
      <w:r>
        <w:rPr>
          <w:rFonts w:ascii="Times New Roman"/>
          <w:b w:val="false"/>
          <w:i w:val="false"/>
          <w:color w:val="000000"/>
          <w:sz w:val="28"/>
        </w:rPr>
        <w:t>
      Малахова А.В., представителя по доверенности АО "Промсинтез";</w:t>
      </w:r>
    </w:p>
    <w:bookmarkEnd w:id="30"/>
    <w:bookmarkStart w:name="z37" w:id="31"/>
    <w:p>
      <w:pPr>
        <w:spacing w:after="0"/>
        <w:ind w:left="0"/>
        <w:jc w:val="both"/>
      </w:pPr>
      <w:r>
        <w:rPr>
          <w:rFonts w:ascii="Times New Roman"/>
          <w:b w:val="false"/>
          <w:i w:val="false"/>
          <w:color w:val="000000"/>
          <w:sz w:val="28"/>
        </w:rPr>
        <w:t>
      Малинниковой Н.И., представителя по доверенности АО "Русперфоратор";</w:t>
      </w:r>
    </w:p>
    <w:bookmarkEnd w:id="31"/>
    <w:bookmarkStart w:name="z38" w:id="32"/>
    <w:p>
      <w:pPr>
        <w:spacing w:after="0"/>
        <w:ind w:left="0"/>
        <w:jc w:val="both"/>
      </w:pPr>
      <w:r>
        <w:rPr>
          <w:rFonts w:ascii="Times New Roman"/>
          <w:b w:val="false"/>
          <w:i w:val="false"/>
          <w:color w:val="000000"/>
          <w:sz w:val="28"/>
        </w:rPr>
        <w:t>
      Мишуниной С.С., представителя по доверенности ФКП "Завод имени Я.М. Свердлова";</w:t>
      </w:r>
    </w:p>
    <w:bookmarkEnd w:id="32"/>
    <w:bookmarkStart w:name="z39" w:id="33"/>
    <w:p>
      <w:pPr>
        <w:spacing w:after="0"/>
        <w:ind w:left="0"/>
        <w:jc w:val="both"/>
      </w:pPr>
      <w:r>
        <w:rPr>
          <w:rFonts w:ascii="Times New Roman"/>
          <w:b w:val="false"/>
          <w:i w:val="false"/>
          <w:color w:val="000000"/>
          <w:sz w:val="28"/>
        </w:rPr>
        <w:t>
      Хаванской Л.С., представителя по доверенности АО "Промсинтез";</w:t>
      </w:r>
    </w:p>
    <w:bookmarkEnd w:id="33"/>
    <w:bookmarkStart w:name="z40" w:id="34"/>
    <w:p>
      <w:pPr>
        <w:spacing w:after="0"/>
        <w:ind w:left="0"/>
        <w:jc w:val="both"/>
      </w:pPr>
      <w:r>
        <w:rPr>
          <w:rFonts w:ascii="Times New Roman"/>
          <w:b w:val="false"/>
          <w:i w:val="false"/>
          <w:color w:val="000000"/>
          <w:sz w:val="28"/>
        </w:rPr>
        <w:t xml:space="preserve">
      Холодиковой О.Ю., представителя по доверенности АО "Русперфоратор"; </w:t>
      </w:r>
    </w:p>
    <w:bookmarkEnd w:id="34"/>
    <w:bookmarkStart w:name="z41" w:id="35"/>
    <w:p>
      <w:pPr>
        <w:spacing w:after="0"/>
        <w:ind w:left="0"/>
        <w:jc w:val="both"/>
      </w:pPr>
      <w:r>
        <w:rPr>
          <w:rFonts w:ascii="Times New Roman"/>
          <w:b w:val="false"/>
          <w:i w:val="false"/>
          <w:color w:val="000000"/>
          <w:sz w:val="28"/>
        </w:rPr>
        <w:t>
      представителя акционерного общества "Научный центр ВостНИИ по промышленной и экологической безопасности в горной отрасли" (далее – АО "НЦ ВостНИИ"), привлеченного в качестве эксперта определением комиссии по рассмотрению дела от 1 октября 2019 г. № 50/опр и участвующего в качестве лица, располагающего сведениями об обстоятельствах дела, Батракова Д.Н.</w:t>
      </w:r>
    </w:p>
    <w:bookmarkEnd w:id="35"/>
    <w:bookmarkStart w:name="z42" w:id="36"/>
    <w:p>
      <w:pPr>
        <w:spacing w:after="0"/>
        <w:ind w:left="0"/>
        <w:jc w:val="both"/>
      </w:pPr>
      <w:r>
        <w:rPr>
          <w:rFonts w:ascii="Times New Roman"/>
          <w:b w:val="false"/>
          <w:i w:val="false"/>
          <w:color w:val="000000"/>
          <w:sz w:val="28"/>
        </w:rPr>
        <w:t>
      В соответствии с Протоколом, Порядком проведения расследования и Методикой оценки состояния конкуренции, утвержденной Решением Совета Евразийской экономической комиссии от 30 января 2013 г. № 7 (далее – Методика), Комиссией проведена оценка состояния конкуренции на трансграничных рынках реализации взрывчатых веществ и средств инициирования.</w:t>
      </w:r>
    </w:p>
    <w:bookmarkEnd w:id="36"/>
    <w:bookmarkStart w:name="z43"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пунктами 61 – 63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37"/>
    <w:bookmarkStart w:name="z44" w:id="38"/>
    <w:p>
      <w:pPr>
        <w:spacing w:after="0"/>
        <w:ind w:left="0"/>
        <w:jc w:val="both"/>
      </w:pPr>
      <w:r>
        <w:rPr>
          <w:rFonts w:ascii="Times New Roman"/>
          <w:b w:val="false"/>
          <w:i w:val="false"/>
          <w:color w:val="000000"/>
          <w:sz w:val="28"/>
        </w:rPr>
        <w:t>
      Руководствуясь положениями раздела II Методики, временной интервал исследования рынка определен с 1 января 2018 г. по 30 июня 2019 г.</w:t>
      </w:r>
    </w:p>
    <w:bookmarkEnd w:id="38"/>
    <w:bookmarkStart w:name="z45" w:id="39"/>
    <w:p>
      <w:pPr>
        <w:spacing w:after="0"/>
        <w:ind w:left="0"/>
        <w:jc w:val="both"/>
      </w:pPr>
      <w:r>
        <w:rPr>
          <w:rFonts w:ascii="Times New Roman"/>
          <w:b w:val="false"/>
          <w:i w:val="false"/>
          <w:color w:val="000000"/>
          <w:sz w:val="28"/>
        </w:rPr>
        <w:t xml:space="preserve">
      Согласно пункту 4 Методики при расследовании запретов,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оценка состояния конкуренции осуществляется с исключением этапов, предусмотренных подпунктами "д" – "и" пункта 3 Методики. </w:t>
      </w:r>
    </w:p>
    <w:bookmarkEnd w:id="39"/>
    <w:bookmarkStart w:name="z46" w:id="40"/>
    <w:p>
      <w:pPr>
        <w:spacing w:after="0"/>
        <w:ind w:left="0"/>
        <w:jc w:val="both"/>
      </w:pPr>
      <w:r>
        <w:rPr>
          <w:rFonts w:ascii="Times New Roman"/>
          <w:b w:val="false"/>
          <w:i w:val="false"/>
          <w:color w:val="000000"/>
          <w:sz w:val="28"/>
        </w:rPr>
        <w:t>
      Согласно статье 2 технического регламента Таможенного Союза "О безопасности взрывчатых веществ и изделий на их основе", принятого Решением Совета Евразийской экономической комиссии от 20 июля 2012 г. № 57 (ТР ТС 028/2012), взрывчатое вещество представляет собой конденсированное химическое вещество или смесь таких веществ, способные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Изделие на основе взрывчатого вещества – компактная масса взрывчатого вещества конечных размеров, заключенная в оболочку или без нее, предназначенная для использования в изготовленном виде самостоятельно или в сочетании с другими взрывчатыми веществами. Средства инициирования – изделия, содержащие взрывчатое вещество и предназначенные для возбуждения или передачи и возбуждения детонации. Инициирующее взрывчатое вещество – высокочувствительное взрывчатое вещество, легко детонирующее от простейших начальных импульсов (удара, трения, нагрева, искрового разряда), предназначенное для возбуждения детонации или воспламенения других взрывчатых веществ.</w:t>
      </w:r>
    </w:p>
    <w:bookmarkEnd w:id="40"/>
    <w:bookmarkStart w:name="z47" w:id="41"/>
    <w:p>
      <w:pPr>
        <w:spacing w:after="0"/>
        <w:ind w:left="0"/>
        <w:jc w:val="both"/>
      </w:pPr>
      <w:r>
        <w:rPr>
          <w:rFonts w:ascii="Times New Roman"/>
          <w:b w:val="false"/>
          <w:i w:val="false"/>
          <w:color w:val="000000"/>
          <w:sz w:val="28"/>
        </w:rPr>
        <w:t>
      Согласно статье 3 ТР ТС 028/2012 взрывчатые вещества и изделия на их основе выпускаются в обращение на таможенной территории Союза при условии, что они прошли необходимые процедуры подтверждения соответствия ТР ТС 028/2012 и иным техническим регламентам Союза (Таможенного союза), которые на них распространяются. Взрывчатые вещества и изделия на их основе, разрабатываемые (проектируемые) и изготавливаемые для использования энергии взрыва в промышленных целях, должны иметь разрешение на постоянное применение, выданное одним из уполномоченных органов государства-члена в области промышленной безопасности.</w:t>
      </w:r>
    </w:p>
    <w:bookmarkEnd w:id="41"/>
    <w:bookmarkStart w:name="z48" w:id="42"/>
    <w:p>
      <w:pPr>
        <w:spacing w:after="0"/>
        <w:ind w:left="0"/>
        <w:jc w:val="both"/>
      </w:pPr>
      <w:r>
        <w:rPr>
          <w:rFonts w:ascii="Times New Roman"/>
          <w:b w:val="false"/>
          <w:i w:val="false"/>
          <w:color w:val="000000"/>
          <w:sz w:val="28"/>
        </w:rPr>
        <w:t xml:space="preserve">
      Согласно перечню секторов (подсекторов) услуг, в которых функционирует единый рынок услуг в рамках Евразийского экономического союза, утвержденному Решением Высшего Евразийского экономического совета от 23 декабря 2014 г. № 110, оптовая торговля взрывчатыми материалами, оборудованием и приборами для взрывного дела в Республике Армения, Республике Беларусь, Республике Казахстан, Кыргызской Республике и Российской Федерации отнесена к исключениям из секторов услуг, в которых действует единый рынок услуг в рамках Союза. </w:t>
      </w:r>
    </w:p>
    <w:bookmarkEnd w:id="42"/>
    <w:bookmarkStart w:name="z49" w:id="43"/>
    <w:p>
      <w:pPr>
        <w:spacing w:after="0"/>
        <w:ind w:left="0"/>
        <w:jc w:val="both"/>
      </w:pPr>
      <w:r>
        <w:rPr>
          <w:rFonts w:ascii="Times New Roman"/>
          <w:b w:val="false"/>
          <w:i w:val="false"/>
          <w:color w:val="000000"/>
          <w:sz w:val="28"/>
        </w:rPr>
        <w:t xml:space="preserve">
      В связи с этим при обороте (производстве, реализации, доставке, хранении и т. д.) взрывчатых веществ и средств инициирования на территориях государств-членов действует режим национального регулирования, то есть осуществляется в соответствии с законодательством соответствующего государства-члена. </w:t>
      </w:r>
    </w:p>
    <w:bookmarkEnd w:id="43"/>
    <w:bookmarkStart w:name="z50" w:id="44"/>
    <w:p>
      <w:pPr>
        <w:spacing w:after="0"/>
        <w:ind w:left="0"/>
        <w:jc w:val="both"/>
      </w:pPr>
      <w:r>
        <w:rPr>
          <w:rFonts w:ascii="Times New Roman"/>
          <w:b w:val="false"/>
          <w:i w:val="false"/>
          <w:color w:val="000000"/>
          <w:sz w:val="28"/>
        </w:rPr>
        <w:t xml:space="preserve">
      Законом Республики Армения от 27 июня 2001 г. № ЗР-193 "О лицензировании" установлено, что оборот взрывчатых веществ осуществляется на основании лицензии. </w:t>
      </w:r>
    </w:p>
    <w:bookmarkEnd w:id="44"/>
    <w:bookmarkStart w:name="z51" w:id="45"/>
    <w:p>
      <w:pPr>
        <w:spacing w:after="0"/>
        <w:ind w:left="0"/>
        <w:jc w:val="both"/>
      </w:pPr>
      <w:r>
        <w:rPr>
          <w:rFonts w:ascii="Times New Roman"/>
          <w:b w:val="false"/>
          <w:i w:val="false"/>
          <w:color w:val="000000"/>
          <w:sz w:val="28"/>
        </w:rPr>
        <w:t>
      Согласно пункту 6 перечня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утвержденного Указом Президента Республики Беларусь от 1 сентября 2010 г. № 450 "О лицензировании отдельных видов деятельности", деятельность в области промышленной безопасности, включая деятельность, связанную с промышленными взрывчатыми веществами, относится к виду деятельности, на осуществление которой требуется специальное разрешение (лицензия).</w:t>
      </w:r>
    </w:p>
    <w:bookmarkEnd w:id="45"/>
    <w:bookmarkStart w:name="z52" w:id="46"/>
    <w:p>
      <w:pPr>
        <w:spacing w:after="0"/>
        <w:ind w:left="0"/>
        <w:jc w:val="both"/>
      </w:pPr>
      <w:r>
        <w:rPr>
          <w:rFonts w:ascii="Times New Roman"/>
          <w:b w:val="false"/>
          <w:i w:val="false"/>
          <w:color w:val="000000"/>
          <w:sz w:val="28"/>
        </w:rPr>
        <w:t xml:space="preserve">
      В соответствии с пунктом 13 статьи 28 Закона Республики Казахстан от 16 мая 2014 г. № 202-5 "О разрешениях и уведомлениях" к сфере лицензирования относится оборот вооружения, военной техники и отдельных видов оружия, взрывчатых веществ и изделий с их применением. </w:t>
      </w:r>
    </w:p>
    <w:bookmarkEnd w:id="46"/>
    <w:bookmarkStart w:name="z53" w:id="47"/>
    <w:p>
      <w:pPr>
        <w:spacing w:after="0"/>
        <w:ind w:left="0"/>
        <w:jc w:val="both"/>
      </w:pPr>
      <w:r>
        <w:rPr>
          <w:rFonts w:ascii="Times New Roman"/>
          <w:b w:val="false"/>
          <w:i w:val="false"/>
          <w:color w:val="000000"/>
          <w:sz w:val="28"/>
        </w:rPr>
        <w:t xml:space="preserve">
      Пунктами 33 и 34 статьи 15 Закона Кыргызской Республики от 19 октября 2013 г. № 195 "О лицензионно-разрешительной системе в Кыргызской Республике" установлено, что к видам деятельности, подлежащим лицензированию, в том числе отнесены производство, применение, уничтожение взрывчатых материалов промышленного назначения и реализация взрывчатых веществ и изделий (в том числе пиротехнических). </w:t>
      </w:r>
    </w:p>
    <w:bookmarkEnd w:id="47"/>
    <w:bookmarkStart w:name="z54" w:id="48"/>
    <w:p>
      <w:pPr>
        <w:spacing w:after="0"/>
        <w:ind w:left="0"/>
        <w:jc w:val="both"/>
      </w:pPr>
      <w:r>
        <w:rPr>
          <w:rFonts w:ascii="Times New Roman"/>
          <w:b w:val="false"/>
          <w:i w:val="false"/>
          <w:color w:val="000000"/>
          <w:sz w:val="28"/>
        </w:rPr>
        <w:t xml:space="preserve">
      Пунктом 50 части 1 статьи 12 Федерального закона Российской Федерации от 4 мая 2011 г. № 99-ФЗ "О лицензировании отдельных видов деятельности" установлено, что деятельность, связанная с обращением взрывчатых материалов промышленного назначения, включена в перечень видов деятельности, на которые требуются лицензии. </w:t>
      </w:r>
    </w:p>
    <w:bookmarkEnd w:id="48"/>
    <w:bookmarkStart w:name="z55" w:id="49"/>
    <w:p>
      <w:pPr>
        <w:spacing w:after="0"/>
        <w:ind w:left="0"/>
        <w:jc w:val="both"/>
      </w:pPr>
      <w:r>
        <w:rPr>
          <w:rFonts w:ascii="Times New Roman"/>
          <w:b w:val="false"/>
          <w:i w:val="false"/>
          <w:color w:val="000000"/>
          <w:sz w:val="28"/>
        </w:rPr>
        <w:t xml:space="preserve">
      Таким образом, оборот взрывчатых веществ в государствах-членах относится к лицензируемым видам деятельности, порядок выдачи лицензии и особенности оборота указанных веществ осуществляются в соответствии с законодательством соответствующего государства-члена. </w:t>
      </w:r>
    </w:p>
    <w:bookmarkEnd w:id="49"/>
    <w:bookmarkStart w:name="z56" w:id="50"/>
    <w:p>
      <w:pPr>
        <w:spacing w:after="0"/>
        <w:ind w:left="0"/>
        <w:jc w:val="both"/>
      </w:pPr>
      <w:r>
        <w:rPr>
          <w:rFonts w:ascii="Times New Roman"/>
          <w:b w:val="false"/>
          <w:i w:val="false"/>
          <w:color w:val="000000"/>
          <w:sz w:val="28"/>
        </w:rPr>
        <w:t xml:space="preserve">
      Согласно подпункту 1.1 пункта 1 статьи 5 ТР ТС 028/2012 предусмотрено, что для целей использования при взрывных работах в зависимости от условий применения взрывчатые вещества и изделия на их основе, разрабатываемые (проектируемые) и изготавливаемые для использования энергии взрыва в промышленных целях, подразделяются на семь классов и специальный класс, который, в зависимости от конкретных условий применения, подразделяется на четыре группы. В соответствии с приложением № 1 к ТР ТС 028/2012 взрывчатые вещества и средства инициирования имеют различные классы и группы в зависимости от состава, модификаций, технических и технологических условий, целевого назначения и т. п. </w:t>
      </w:r>
    </w:p>
    <w:bookmarkEnd w:id="50"/>
    <w:bookmarkStart w:name="z57" w:id="51"/>
    <w:p>
      <w:pPr>
        <w:spacing w:after="0"/>
        <w:ind w:left="0"/>
        <w:jc w:val="both"/>
      </w:pPr>
      <w:r>
        <w:rPr>
          <w:rFonts w:ascii="Times New Roman"/>
          <w:b w:val="false"/>
          <w:i w:val="false"/>
          <w:color w:val="000000"/>
          <w:sz w:val="28"/>
        </w:rPr>
        <w:t>
      Взрывчатые вещества и изделия на их основе (включающие средства инициирования) подразделяются на следующие классы:</w:t>
      </w:r>
    </w:p>
    <w:bookmarkEnd w:id="51"/>
    <w:bookmarkStart w:name="z58" w:id="52"/>
    <w:p>
      <w:pPr>
        <w:spacing w:after="0"/>
        <w:ind w:left="0"/>
        <w:jc w:val="both"/>
      </w:pPr>
      <w:r>
        <w:rPr>
          <w:rFonts w:ascii="Times New Roman"/>
          <w:b w:val="false"/>
          <w:i w:val="false"/>
          <w:color w:val="000000"/>
          <w:sz w:val="28"/>
        </w:rPr>
        <w:t>
      непредохранительные взрывчатые вещества для взрывания только на земной поверхности (класс I);</w:t>
      </w:r>
    </w:p>
    <w:bookmarkEnd w:id="52"/>
    <w:bookmarkStart w:name="z59" w:id="53"/>
    <w:p>
      <w:pPr>
        <w:spacing w:after="0"/>
        <w:ind w:left="0"/>
        <w:jc w:val="both"/>
      </w:pPr>
      <w:r>
        <w:rPr>
          <w:rFonts w:ascii="Times New Roman"/>
          <w:b w:val="false"/>
          <w:i w:val="false"/>
          <w:color w:val="000000"/>
          <w:sz w:val="28"/>
        </w:rPr>
        <w:t>
      непредохранительные взрывчатые вещества для взрывания на земной поверхности и в забоях подземных выработок, в которых либо отсутствует выделение горючих газов или взрывчатой угольной (сланцевой) пыли, либо применяется инертизация призабойного пространства, исключающая воспламенение взрывоопасной среды при взрывных работах (класс II);</w:t>
      </w:r>
    </w:p>
    <w:bookmarkEnd w:id="53"/>
    <w:bookmarkStart w:name="z60" w:id="54"/>
    <w:p>
      <w:pPr>
        <w:spacing w:after="0"/>
        <w:ind w:left="0"/>
        <w:jc w:val="both"/>
      </w:pPr>
      <w:r>
        <w:rPr>
          <w:rFonts w:ascii="Times New Roman"/>
          <w:b w:val="false"/>
          <w:i w:val="false"/>
          <w:color w:val="000000"/>
          <w:sz w:val="28"/>
        </w:rPr>
        <w:t>
      предохранительные взрывчатые вещества для взрывания только по породе в забоях подземных выработок, в которых имеется выделение горючих газов, но отсутствует взрывчатая угольная (сланцевая) пыль (класс III);</w:t>
      </w:r>
    </w:p>
    <w:bookmarkEnd w:id="54"/>
    <w:bookmarkStart w:name="z61" w:id="55"/>
    <w:p>
      <w:pPr>
        <w:spacing w:after="0"/>
        <w:ind w:left="0"/>
        <w:jc w:val="both"/>
      </w:pPr>
      <w:r>
        <w:rPr>
          <w:rFonts w:ascii="Times New Roman"/>
          <w:b w:val="false"/>
          <w:i w:val="false"/>
          <w:color w:val="000000"/>
          <w:sz w:val="28"/>
        </w:rPr>
        <w:t>
      предохранительные взрывчатые вещества для взрывания: по углю и (или) породе или горючим сланцам в забоях подземных выработок, опасных по взрыву угольной (сланцевой) пыли при отсутствии выделения горючих газов; по углю и (или) породе в забоях подземных выработок, проводимых по угольному пласту, в которых имеется выделение горючих газов, кроме выработок с повышенным выделением горючих газов; для сотрясательного взрывания в забоях подземных выработок угольных шахт (класс IV);</w:t>
      </w:r>
    </w:p>
    <w:bookmarkEnd w:id="55"/>
    <w:bookmarkStart w:name="z62" w:id="56"/>
    <w:p>
      <w:pPr>
        <w:spacing w:after="0"/>
        <w:ind w:left="0"/>
        <w:jc w:val="both"/>
      </w:pPr>
      <w:r>
        <w:rPr>
          <w:rFonts w:ascii="Times New Roman"/>
          <w:b w:val="false"/>
          <w:i w:val="false"/>
          <w:color w:val="000000"/>
          <w:sz w:val="28"/>
        </w:rPr>
        <w:t>
      предохранительные взрывчатые вещества для взрывания по углю и (или) породе в выработках с повышенным выделением горючих газов, проводимых по угольному пласту, когда исключен контакт боковой поверхности шпурового заряда с газовоздушной смесью, находящейся либо в пересекающих шпур трещинах массива горных пород, либо в выработке (класс V);</w:t>
      </w:r>
    </w:p>
    <w:bookmarkEnd w:id="56"/>
    <w:bookmarkStart w:name="z63" w:id="57"/>
    <w:p>
      <w:pPr>
        <w:spacing w:after="0"/>
        <w:ind w:left="0"/>
        <w:jc w:val="both"/>
      </w:pPr>
      <w:r>
        <w:rPr>
          <w:rFonts w:ascii="Times New Roman"/>
          <w:b w:val="false"/>
          <w:i w:val="false"/>
          <w:color w:val="000000"/>
          <w:sz w:val="28"/>
        </w:rPr>
        <w:t>
      предохранительные взрывчатые вещества для взрывания: по углю и (или) породе в выработках с повышенным выделением горючих газов, проводимых в условиях, когда возможен контакт боковой поверхности шпурового заряда с газовоздушной смесью, находящейся либо в пересекающих шпур трещинах горного массива, либо  выработке; в угольных и смешанных забоях восстающих (более 10°) выработок, в которых выделяется горючий газ, при длине выработок более 20 м и проведении их без предварительно пробуренных скважин, обеспечивающих проветривание за счет общешахтной депрессии (класс VI);</w:t>
      </w:r>
    </w:p>
    <w:bookmarkEnd w:id="57"/>
    <w:bookmarkStart w:name="z64" w:id="58"/>
    <w:p>
      <w:pPr>
        <w:spacing w:after="0"/>
        <w:ind w:left="0"/>
        <w:jc w:val="both"/>
      </w:pPr>
      <w:r>
        <w:rPr>
          <w:rFonts w:ascii="Times New Roman"/>
          <w:b w:val="false"/>
          <w:i w:val="false"/>
          <w:color w:val="000000"/>
          <w:sz w:val="28"/>
        </w:rPr>
        <w:t xml:space="preserve">
      предохранительные взрывчатые вещества и изделия из предохранительных взрывчатых веществ V – VI классов для ведения специальных взрывных работ (водораспыление и распыление порошкообразных ингибиторов, взрывное перебивание деревянных стоек при посадке кровли, ликвидация зависания горной массы в углеперепускных выработках, дробление негабаритов) в забоях подземных выработок, в которых возможно образование взрывоопасной концентрации горючего газа и угольной пыли (класс VII). </w:t>
      </w:r>
    </w:p>
    <w:bookmarkEnd w:id="58"/>
    <w:bookmarkStart w:name="z65" w:id="59"/>
    <w:p>
      <w:pPr>
        <w:spacing w:after="0"/>
        <w:ind w:left="0"/>
        <w:jc w:val="both"/>
      </w:pPr>
      <w:r>
        <w:rPr>
          <w:rFonts w:ascii="Times New Roman"/>
          <w:b w:val="false"/>
          <w:i w:val="false"/>
          <w:color w:val="000000"/>
          <w:sz w:val="28"/>
        </w:rPr>
        <w:t xml:space="preserve">
      Специальный класс (непредохранительные и предохранительные взрывчатые вещества и изделия на их основе, предназначенные для специальных взрывных работ, кроме забоев подземных выработок, в которых возможно образование взрывоопасной концентрации горючего газа и угольной (сланцевой) пыли) подразделяется на следующие группы: </w:t>
      </w:r>
    </w:p>
    <w:bookmarkEnd w:id="59"/>
    <w:bookmarkStart w:name="z66" w:id="60"/>
    <w:p>
      <w:pPr>
        <w:spacing w:after="0"/>
        <w:ind w:left="0"/>
        <w:jc w:val="both"/>
      </w:pPr>
      <w:r>
        <w:rPr>
          <w:rFonts w:ascii="Times New Roman"/>
          <w:b w:val="false"/>
          <w:i w:val="false"/>
          <w:color w:val="000000"/>
          <w:sz w:val="28"/>
        </w:rPr>
        <w:t>
      взрывные работы на земной поверхности: импульсная обработка металлов; инициирование скважинных и сосредоточенных зарядов; контурное взрывание для заоткоски уступов; разрушение мерзлых грунтов; дробление негабаритных кусков горной массы; сейсморазведочные работы в скважинах; создание заградительных полос при локализации лесных пожаров, другие специальные работы (группа 1);</w:t>
      </w:r>
    </w:p>
    <w:bookmarkEnd w:id="60"/>
    <w:bookmarkStart w:name="z67" w:id="61"/>
    <w:p>
      <w:pPr>
        <w:spacing w:after="0"/>
        <w:ind w:left="0"/>
        <w:jc w:val="both"/>
      </w:pPr>
      <w:r>
        <w:rPr>
          <w:rFonts w:ascii="Times New Roman"/>
          <w:b w:val="false"/>
          <w:i w:val="false"/>
          <w:color w:val="000000"/>
          <w:sz w:val="28"/>
        </w:rPr>
        <w:t>
      взрывные работы в забоях подземных выработок, не опасных по газу и (или) угольной (сланцевой) пыли; взрывание сульфидных руд; дробление негабаритных кусков горной массы; контурное взрывание, другие специальные работы (группа 2);</w:t>
      </w:r>
    </w:p>
    <w:bookmarkEnd w:id="61"/>
    <w:bookmarkStart w:name="z68" w:id="62"/>
    <w:p>
      <w:pPr>
        <w:spacing w:after="0"/>
        <w:ind w:left="0"/>
        <w:jc w:val="both"/>
      </w:pPr>
      <w:r>
        <w:rPr>
          <w:rFonts w:ascii="Times New Roman"/>
          <w:b w:val="false"/>
          <w:i w:val="false"/>
          <w:color w:val="000000"/>
          <w:sz w:val="28"/>
        </w:rPr>
        <w:t>
      прострелочно-взрывные работы в разведочных, нефтяных, газовых скважинах (группа 3);</w:t>
      </w:r>
    </w:p>
    <w:bookmarkEnd w:id="62"/>
    <w:bookmarkStart w:name="z69" w:id="63"/>
    <w:p>
      <w:pPr>
        <w:spacing w:after="0"/>
        <w:ind w:left="0"/>
        <w:jc w:val="both"/>
      </w:pPr>
      <w:r>
        <w:rPr>
          <w:rFonts w:ascii="Times New Roman"/>
          <w:b w:val="false"/>
          <w:i w:val="false"/>
          <w:color w:val="000000"/>
          <w:sz w:val="28"/>
        </w:rPr>
        <w:t>
      взрывные работы в серных, нефтяных и других шахтах, опасных по взрыву серной пыли, водорода и паров тяжелых углеводородов (группа 4).</w:t>
      </w:r>
    </w:p>
    <w:bookmarkEnd w:id="63"/>
    <w:bookmarkStart w:name="z70" w:id="64"/>
    <w:p>
      <w:pPr>
        <w:spacing w:after="0"/>
        <w:ind w:left="0"/>
        <w:jc w:val="both"/>
      </w:pPr>
      <w:r>
        <w:rPr>
          <w:rFonts w:ascii="Times New Roman"/>
          <w:b w:val="false"/>
          <w:i w:val="false"/>
          <w:color w:val="000000"/>
          <w:sz w:val="28"/>
        </w:rPr>
        <w:t xml:space="preserve">
      Представленные классы и группы подтверждают, что взрывчатые вещества и средства инициирования ранжируются в зависимости от технических, физико-химических и иных характеристик, в том числе от целевого назначения использования конечным потребителем. Также конкретный вид и количество необходимых конечному потребителю взрывчатых веществ и средств инициирования определяются в том числе нормативными и нормативно-техническими требованиями к соответствующему виду работ (товаров, услуг), в рамках которых предполагается последующее потребление соответствующего взрывчатого вещества или средства инициирования. </w:t>
      </w:r>
    </w:p>
    <w:bookmarkEnd w:id="64"/>
    <w:bookmarkStart w:name="z71" w:id="65"/>
    <w:p>
      <w:pPr>
        <w:spacing w:after="0"/>
        <w:ind w:left="0"/>
        <w:jc w:val="both"/>
      </w:pPr>
      <w:r>
        <w:rPr>
          <w:rFonts w:ascii="Times New Roman"/>
          <w:b w:val="false"/>
          <w:i w:val="false"/>
          <w:color w:val="000000"/>
          <w:sz w:val="28"/>
        </w:rPr>
        <w:t xml:space="preserve">
      Взрывчатые вещества и средства инициирования, поставляемые с территории одного государства-члена на территорию другого государства-члена, относятся к группе 36 ТН ВЭД ЕАЭС "взрывчатые вещества; пиротехнические изделия; спички; пирофорные сплавы; некоторые горючие вещества" в соответствующем коде ТН ВЭД ЕАЭС в зависимости от состава, цели и технических характеристик соответствующего товара. </w:t>
      </w:r>
    </w:p>
    <w:bookmarkEnd w:id="65"/>
    <w:bookmarkStart w:name="z72" w:id="66"/>
    <w:p>
      <w:pPr>
        <w:spacing w:after="0"/>
        <w:ind w:left="0"/>
        <w:jc w:val="both"/>
      </w:pPr>
      <w:r>
        <w:rPr>
          <w:rFonts w:ascii="Times New Roman"/>
          <w:b w:val="false"/>
          <w:i w:val="false"/>
          <w:color w:val="000000"/>
          <w:sz w:val="28"/>
        </w:rPr>
        <w:t xml:space="preserve">
      В свою очередь, не предусмотрен код ТН ВЭД ЕАЭС, который выделял бы из указанной группы отдельные виды взрывчатых веществ и средств инициирования как отдельные изделия с установленными качественными, техническими и иными характеристиками. В связи с этим данные о внешней и взаимной торговле представлены агрегированно без детализации кода ТН ВЭД ЕАЭС в зависимости от вида, качества, количества и иных характеристик товара. </w:t>
      </w:r>
    </w:p>
    <w:bookmarkEnd w:id="66"/>
    <w:bookmarkStart w:name="z73" w:id="67"/>
    <w:p>
      <w:pPr>
        <w:spacing w:after="0"/>
        <w:ind w:left="0"/>
        <w:jc w:val="both"/>
      </w:pPr>
      <w:r>
        <w:rPr>
          <w:rFonts w:ascii="Times New Roman"/>
          <w:b w:val="false"/>
          <w:i w:val="false"/>
          <w:color w:val="000000"/>
          <w:sz w:val="28"/>
        </w:rPr>
        <w:t xml:space="preserve">
      Согласно информации, представленной при проведении расследования и рассмотрения дела, взрывчатые вещества и средства инициирования приобретаются покупателями исходя из функционального назначения, в том числе потребительских свойств товара. Приобретение товара потребителями обусловливается, как правило, целями производственного потребления при проведении работ, оказании услуг или целями последующей перепродажи. Качественные и технические характеристики взрывчатых веществ и средств инициирования предопределяют невозможность или существенное затруднение замены одного товара другим даже в одной товарной группе. </w:t>
      </w:r>
    </w:p>
    <w:bookmarkEnd w:id="67"/>
    <w:bookmarkStart w:name="z74" w:id="68"/>
    <w:p>
      <w:pPr>
        <w:spacing w:after="0"/>
        <w:ind w:left="0"/>
        <w:jc w:val="both"/>
      </w:pPr>
      <w:r>
        <w:rPr>
          <w:rFonts w:ascii="Times New Roman"/>
          <w:b w:val="false"/>
          <w:i w:val="false"/>
          <w:color w:val="000000"/>
          <w:sz w:val="28"/>
        </w:rPr>
        <w:t>
      Анализ предмета договоров, представленных в материалах дела, показывает, что при приобретении взрывчатых веществ и средств инициирования выбор покупателя основывается на технических, качественных и целевых характеристиках товара.</w:t>
      </w:r>
    </w:p>
    <w:bookmarkEnd w:id="68"/>
    <w:bookmarkStart w:name="z75" w:id="69"/>
    <w:p>
      <w:pPr>
        <w:spacing w:after="0"/>
        <w:ind w:left="0"/>
        <w:jc w:val="both"/>
      </w:pPr>
      <w:r>
        <w:rPr>
          <w:rFonts w:ascii="Times New Roman"/>
          <w:b w:val="false"/>
          <w:i w:val="false"/>
          <w:color w:val="000000"/>
          <w:sz w:val="28"/>
        </w:rPr>
        <w:t xml:space="preserve">
      Классификаторы видов экономической деятельности государств-членов относят деятельность по реализации взрывчатых веществ и средств инициирования к торговле промышленными и техническими химическими веществами. </w:t>
      </w:r>
    </w:p>
    <w:bookmarkEnd w:id="69"/>
    <w:bookmarkStart w:name="z76" w:id="70"/>
    <w:p>
      <w:pPr>
        <w:spacing w:after="0"/>
        <w:ind w:left="0"/>
        <w:jc w:val="both"/>
      </w:pPr>
      <w:r>
        <w:rPr>
          <w:rFonts w:ascii="Times New Roman"/>
          <w:b w:val="false"/>
          <w:i w:val="false"/>
          <w:color w:val="000000"/>
          <w:sz w:val="28"/>
        </w:rPr>
        <w:t xml:space="preserve">
      Согласно ТР ТС 028/2012 взрывчатые вещества и средства инициирования подлежат сертификации, в том числе на подтверждение соответствия требованиям ТР ТС 028/2012. </w:t>
      </w:r>
    </w:p>
    <w:bookmarkEnd w:id="70"/>
    <w:bookmarkStart w:name="z77" w:id="71"/>
    <w:p>
      <w:pPr>
        <w:spacing w:after="0"/>
        <w:ind w:left="0"/>
        <w:jc w:val="both"/>
      </w:pPr>
      <w:r>
        <w:rPr>
          <w:rFonts w:ascii="Times New Roman"/>
          <w:b w:val="false"/>
          <w:i w:val="false"/>
          <w:color w:val="000000"/>
          <w:sz w:val="28"/>
        </w:rPr>
        <w:t xml:space="preserve">
      Согласно законодательству государств-членов взрывчатые вещества и средства инициирования отнесены к товарам двойного назначения, в связи с чем включены в соответствующую номенклатуру товаров, подлежащих экспортному контролю. </w:t>
      </w:r>
    </w:p>
    <w:bookmarkEnd w:id="71"/>
    <w:bookmarkStart w:name="z78" w:id="72"/>
    <w:p>
      <w:pPr>
        <w:spacing w:after="0"/>
        <w:ind w:left="0"/>
        <w:jc w:val="both"/>
      </w:pPr>
      <w:r>
        <w:rPr>
          <w:rFonts w:ascii="Times New Roman"/>
          <w:b w:val="false"/>
          <w:i w:val="false"/>
          <w:color w:val="000000"/>
          <w:sz w:val="28"/>
        </w:rPr>
        <w:t>
      Наибольшее распространение промышленные взрывчатые вещества получили в горном деле при разработке месторождений полезных ископаемых для разрушения горных пород и переноса больших объемов грунта (до 80 процентов объема производства).</w:t>
      </w:r>
    </w:p>
    <w:bookmarkEnd w:id="72"/>
    <w:bookmarkStart w:name="z79" w:id="73"/>
    <w:p>
      <w:pPr>
        <w:spacing w:after="0"/>
        <w:ind w:left="0"/>
        <w:jc w:val="both"/>
      </w:pPr>
      <w:r>
        <w:rPr>
          <w:rFonts w:ascii="Times New Roman"/>
          <w:b w:val="false"/>
          <w:i w:val="false"/>
          <w:color w:val="000000"/>
          <w:sz w:val="28"/>
        </w:rPr>
        <w:t>
      Таким образом, исходя из требований раздела III Методики, основываясь на информации, представленной в материалах дела, установлено, что продуктовыми границами трансграничного товарного рынка реализации взрывчатых веществ и средств инициирования являются товары (товарные группы), совместно именуемые товарный рынок:</w:t>
      </w:r>
    </w:p>
    <w:bookmarkEnd w:id="73"/>
    <w:bookmarkStart w:name="z80" w:id="74"/>
    <w:p>
      <w:pPr>
        <w:spacing w:after="0"/>
        <w:ind w:left="0"/>
        <w:jc w:val="both"/>
      </w:pPr>
      <w:r>
        <w:rPr>
          <w:rFonts w:ascii="Times New Roman"/>
          <w:b w:val="false"/>
          <w:i w:val="false"/>
          <w:color w:val="000000"/>
          <w:sz w:val="28"/>
        </w:rPr>
        <w:t>
      взрывчатые вещества – конденсированные химические вещества или смеси таких веществ, способные при определенных условиях под влиянием внешних воздействий к быстрому самораспространяющемуся химическому превращению (взрыву) с выделением большого количества тепла и газообразных продуктов, представленные в качестве самостоятельного товара при его введении в гражданский оборот;</w:t>
      </w:r>
    </w:p>
    <w:bookmarkEnd w:id="74"/>
    <w:bookmarkStart w:name="z81" w:id="75"/>
    <w:p>
      <w:pPr>
        <w:spacing w:after="0"/>
        <w:ind w:left="0"/>
        <w:jc w:val="both"/>
      </w:pPr>
      <w:r>
        <w:rPr>
          <w:rFonts w:ascii="Times New Roman"/>
          <w:b w:val="false"/>
          <w:i w:val="false"/>
          <w:color w:val="000000"/>
          <w:sz w:val="28"/>
        </w:rPr>
        <w:t>
      средства инициирования – изделия, содержащие взрывчатое вещество и предназначенные для возбуждения или передачи и возбуждения детонации, представляющие собой самостоятельный объект гражданского оборота – товар или входящие в состав других товаров.</w:t>
      </w:r>
    </w:p>
    <w:bookmarkEnd w:id="75"/>
    <w:bookmarkStart w:name="z82" w:id="76"/>
    <w:p>
      <w:pPr>
        <w:spacing w:after="0"/>
        <w:ind w:left="0"/>
        <w:jc w:val="both"/>
      </w:pPr>
      <w:r>
        <w:rPr>
          <w:rFonts w:ascii="Times New Roman"/>
          <w:b w:val="false"/>
          <w:i w:val="false"/>
          <w:color w:val="000000"/>
          <w:sz w:val="28"/>
        </w:rPr>
        <w:t xml:space="preserve">
      Пунктом 2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в целях применения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рынок относится к трансграничному, если географические границы товарного рынка охватывают территории 2 и более государств-членов.</w:t>
      </w:r>
    </w:p>
    <w:bookmarkEnd w:id="76"/>
    <w:bookmarkStart w:name="z83" w:id="77"/>
    <w:p>
      <w:pPr>
        <w:spacing w:after="0"/>
        <w:ind w:left="0"/>
        <w:jc w:val="both"/>
      </w:pPr>
      <w:r>
        <w:rPr>
          <w:rFonts w:ascii="Times New Roman"/>
          <w:b w:val="false"/>
          <w:i w:val="false"/>
          <w:color w:val="000000"/>
          <w:sz w:val="28"/>
        </w:rPr>
        <w:t xml:space="preserve">
      В соответствии с положениями раздела IV Методики, учитывая, что взрывчатые вещества и средства инициирования обращаются на территориях всех государств-членов, установлено, что географическими границами трансграничного товарного рынка являются территории всех государств-членов. </w:t>
      </w:r>
    </w:p>
    <w:bookmarkEnd w:id="77"/>
    <w:bookmarkStart w:name="z84" w:id="78"/>
    <w:p>
      <w:pPr>
        <w:spacing w:after="0"/>
        <w:ind w:left="0"/>
        <w:jc w:val="both"/>
      </w:pPr>
      <w:r>
        <w:rPr>
          <w:rFonts w:ascii="Times New Roman"/>
          <w:b w:val="false"/>
          <w:i w:val="false"/>
          <w:color w:val="000000"/>
          <w:sz w:val="28"/>
        </w:rPr>
        <w:t xml:space="preserve">
      В соответствии с пунктом 26 Методики и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74, </w:t>
      </w:r>
      <w:r>
        <w:rPr>
          <w:rFonts w:ascii="Times New Roman"/>
          <w:b w:val="false"/>
          <w:i w:val="false"/>
          <w:color w:val="000000"/>
          <w:sz w:val="28"/>
        </w:rPr>
        <w:t>пункта 7</w:t>
      </w:r>
      <w:r>
        <w:rPr>
          <w:rFonts w:ascii="Times New Roman"/>
          <w:b w:val="false"/>
          <w:i w:val="false"/>
          <w:color w:val="000000"/>
          <w:sz w:val="28"/>
        </w:rPr>
        <w:t xml:space="preserve"> статьи 76 Договора, </w:t>
      </w:r>
      <w:r>
        <w:rPr>
          <w:rFonts w:ascii="Times New Roman"/>
          <w:b w:val="false"/>
          <w:i w:val="false"/>
          <w:color w:val="000000"/>
          <w:sz w:val="28"/>
        </w:rPr>
        <w:t>пункта 9</w:t>
      </w:r>
      <w:r>
        <w:rPr>
          <w:rFonts w:ascii="Times New Roman"/>
          <w:b w:val="false"/>
          <w:i w:val="false"/>
          <w:color w:val="000000"/>
          <w:sz w:val="28"/>
        </w:rPr>
        <w:t xml:space="preserve"> Протокола и пунктов 1 и 2 Критериев, согласно информации, представленной в материалах дела, исходя из наличия поставок взрывчатых веществ и средств инициирования с территории одного государства-члена на территорию другого государства-члена, рынок реализации взрывчатых веществ и средств инициирования является трансграничным. </w:t>
      </w:r>
    </w:p>
    <w:bookmarkEnd w:id="78"/>
    <w:bookmarkStart w:name="z85" w:id="79"/>
    <w:p>
      <w:pPr>
        <w:spacing w:after="0"/>
        <w:ind w:left="0"/>
        <w:jc w:val="both"/>
      </w:pPr>
      <w:r>
        <w:rPr>
          <w:rFonts w:ascii="Times New Roman"/>
          <w:b w:val="false"/>
          <w:i w:val="false"/>
          <w:color w:val="000000"/>
          <w:sz w:val="28"/>
        </w:rPr>
        <w:t xml:space="preserve">
      Учитывая изложенное и тот факт, что рынок реализации взрывчатых веществ и средств инициирования является трансграничным, на основании пункта 2 статьи 74, </w:t>
      </w:r>
      <w:r>
        <w:rPr>
          <w:rFonts w:ascii="Times New Roman"/>
          <w:b w:val="false"/>
          <w:i w:val="false"/>
          <w:color w:val="000000"/>
          <w:sz w:val="28"/>
        </w:rPr>
        <w:t>пункта 9</w:t>
      </w:r>
      <w:r>
        <w:rPr>
          <w:rFonts w:ascii="Times New Roman"/>
          <w:b w:val="false"/>
          <w:i w:val="false"/>
          <w:color w:val="000000"/>
          <w:sz w:val="28"/>
        </w:rPr>
        <w:t xml:space="preserve"> Протокола и пункта 4 Критериев, а также в связи с тем, что материалы поступили от Министерства национальной экономики Республики Казахстан – органа государственной власти Республики Казахстан, в компетенцию которого на период передачи материалов входили реализация и (или) проведение конкурентной (антимонопольной) политики в Республике Казахстан, по обращению участников рынка Республики Казахстан, а также принимая во внимание, что по итогам проведенного расследования в качестве хозяйствующих субъектов (субъектов рынка), в действиях которых усматриваются признаки нарушения общих правил конкуренции на трансграничных рынках, определены хозяйствующие субъекты (субъекты рынка), зарегистрированные на территориях Республики Казахстан и Российской Федерации, пресечение нарушений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статьи 76 Договора относится к компетенции Комиссии.</w:t>
      </w:r>
    </w:p>
    <w:bookmarkEnd w:id="79"/>
    <w:bookmarkStart w:name="z86" w:id="80"/>
    <w:p>
      <w:pPr>
        <w:spacing w:after="0"/>
        <w:ind w:left="0"/>
        <w:jc w:val="both"/>
      </w:pPr>
      <w:r>
        <w:rPr>
          <w:rFonts w:ascii="Times New Roman"/>
          <w:b w:val="false"/>
          <w:i w:val="false"/>
          <w:color w:val="000000"/>
          <w:sz w:val="28"/>
        </w:rPr>
        <w:t xml:space="preserve">
      Согласно материалам дела в состав хозяйствующих субъектов (субъектов рынка), осуществляющих деятельность на соответствующем товарном рынке, включая хозяйствующие субъекты (субъекты рынка), реализующие в его границах товар в пределах определенного временного интервала исследования товарного рынка, входят: </w:t>
      </w:r>
    </w:p>
    <w:bookmarkEnd w:id="80"/>
    <w:bookmarkStart w:name="z87" w:id="81"/>
    <w:p>
      <w:pPr>
        <w:spacing w:after="0"/>
        <w:ind w:left="0"/>
        <w:jc w:val="both"/>
      </w:pPr>
      <w:r>
        <w:rPr>
          <w:rFonts w:ascii="Times New Roman"/>
          <w:b w:val="false"/>
          <w:i w:val="false"/>
          <w:color w:val="000000"/>
          <w:sz w:val="28"/>
        </w:rPr>
        <w:t>
      АО "НМЗ "Искра";</w:t>
      </w:r>
    </w:p>
    <w:bookmarkEnd w:id="81"/>
    <w:bookmarkStart w:name="z88" w:id="82"/>
    <w:p>
      <w:pPr>
        <w:spacing w:after="0"/>
        <w:ind w:left="0"/>
        <w:jc w:val="both"/>
      </w:pPr>
      <w:r>
        <w:rPr>
          <w:rFonts w:ascii="Times New Roman"/>
          <w:b w:val="false"/>
          <w:i w:val="false"/>
          <w:color w:val="000000"/>
          <w:sz w:val="28"/>
        </w:rPr>
        <w:t>
      АО "Промсинтез";</w:t>
      </w:r>
    </w:p>
    <w:bookmarkEnd w:id="82"/>
    <w:bookmarkStart w:name="z89" w:id="83"/>
    <w:p>
      <w:pPr>
        <w:spacing w:after="0"/>
        <w:ind w:left="0"/>
        <w:jc w:val="both"/>
      </w:pPr>
      <w:r>
        <w:rPr>
          <w:rFonts w:ascii="Times New Roman"/>
          <w:b w:val="false"/>
          <w:i w:val="false"/>
          <w:color w:val="000000"/>
          <w:sz w:val="28"/>
        </w:rPr>
        <w:t xml:space="preserve">
      ФКП "Завод имени Я.М. Свердлова"; </w:t>
      </w:r>
    </w:p>
    <w:bookmarkEnd w:id="83"/>
    <w:bookmarkStart w:name="z90" w:id="84"/>
    <w:p>
      <w:pPr>
        <w:spacing w:after="0"/>
        <w:ind w:left="0"/>
        <w:jc w:val="both"/>
      </w:pPr>
      <w:r>
        <w:rPr>
          <w:rFonts w:ascii="Times New Roman"/>
          <w:b w:val="false"/>
          <w:i w:val="false"/>
          <w:color w:val="000000"/>
          <w:sz w:val="28"/>
        </w:rPr>
        <w:t>
      группа лиц в составе ТОО "НПП "Интеррин" и ТОО "Искра-Сервис";</w:t>
      </w:r>
    </w:p>
    <w:bookmarkEnd w:id="84"/>
    <w:bookmarkStart w:name="z91" w:id="85"/>
    <w:p>
      <w:pPr>
        <w:spacing w:after="0"/>
        <w:ind w:left="0"/>
        <w:jc w:val="both"/>
      </w:pPr>
      <w:r>
        <w:rPr>
          <w:rFonts w:ascii="Times New Roman"/>
          <w:b w:val="false"/>
          <w:i w:val="false"/>
          <w:color w:val="000000"/>
          <w:sz w:val="28"/>
        </w:rPr>
        <w:t>
      группа лиц в составе АО "Русперфоратор" и ТОО "Промвзрыв".</w:t>
      </w:r>
    </w:p>
    <w:bookmarkEnd w:id="85"/>
    <w:bookmarkStart w:name="z92" w:id="86"/>
    <w:p>
      <w:pPr>
        <w:spacing w:after="0"/>
        <w:ind w:left="0"/>
        <w:jc w:val="both"/>
      </w:pPr>
      <w:r>
        <w:rPr>
          <w:rFonts w:ascii="Times New Roman"/>
          <w:b w:val="false"/>
          <w:i w:val="false"/>
          <w:color w:val="000000"/>
          <w:sz w:val="28"/>
        </w:rPr>
        <w:t xml:space="preserve">
      Согласно подпункту 8 </w:t>
      </w:r>
      <w:r>
        <w:rPr>
          <w:rFonts w:ascii="Times New Roman"/>
          <w:b w:val="false"/>
          <w:i w:val="false"/>
          <w:color w:val="000000"/>
          <w:sz w:val="28"/>
        </w:rPr>
        <w:t>пункта 2</w:t>
      </w:r>
      <w:r>
        <w:rPr>
          <w:rFonts w:ascii="Times New Roman"/>
          <w:b w:val="false"/>
          <w:i w:val="false"/>
          <w:color w:val="000000"/>
          <w:sz w:val="28"/>
        </w:rPr>
        <w:t xml:space="preserve"> Протокола под конкуренцией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86"/>
    <w:bookmarkStart w:name="z93" w:id="8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предусмотренными Протоколом в случае, если установлено, что такие соглашения приводят или могут привести к ограничению конкуренции на трансграничных рынках.</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17</w:t>
      </w:r>
      <w:r>
        <w:rPr>
          <w:rFonts w:ascii="Times New Roman"/>
          <w:b w:val="false"/>
          <w:i w:val="false"/>
          <w:color w:val="000000"/>
          <w:sz w:val="28"/>
        </w:rPr>
        <w:t xml:space="preserve"> пункта 2 Протокола соглашение определено как договоренность в письменной форме, содержащаяся в документе или нескольких документах, а также договоренность в устной форме.</w:t>
      </w:r>
    </w:p>
    <w:bookmarkStart w:name="z95" w:id="8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Протокола под "вертикальным" соглашением понимается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bookmarkEnd w:id="88"/>
    <w:bookmarkStart w:name="z96" w:id="8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Протокола и </w:t>
      </w:r>
      <w:r>
        <w:rPr>
          <w:rFonts w:ascii="Times New Roman"/>
          <w:b w:val="false"/>
          <w:i w:val="false"/>
          <w:color w:val="000000"/>
          <w:sz w:val="28"/>
        </w:rPr>
        <w:t>пункту 4</w:t>
      </w:r>
      <w:r>
        <w:rPr>
          <w:rFonts w:ascii="Times New Roman"/>
          <w:b w:val="false"/>
          <w:i w:val="false"/>
          <w:color w:val="000000"/>
          <w:sz w:val="28"/>
        </w:rPr>
        <w:t xml:space="preserve"> статьи 76 Договора "вертикальное" соглашение представляет собой согласование своих действий как минимум двумя хозяйствующими субъектами (субъектами рынка), находящимися на разных уровнях в структуре одного товарного рынка.</w:t>
      </w:r>
    </w:p>
    <w:bookmarkEnd w:id="89"/>
    <w:bookmarkStart w:name="z97" w:id="90"/>
    <w:p>
      <w:pPr>
        <w:spacing w:after="0"/>
        <w:ind w:left="0"/>
        <w:jc w:val="both"/>
      </w:pPr>
      <w:r>
        <w:rPr>
          <w:rFonts w:ascii="Times New Roman"/>
          <w:b w:val="false"/>
          <w:i w:val="false"/>
          <w:color w:val="000000"/>
          <w:sz w:val="28"/>
        </w:rPr>
        <w:t xml:space="preserve">
      Основными критериями запрещенных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"вертикальных" соглашений являются: </w:t>
      </w:r>
    </w:p>
    <w:bookmarkEnd w:id="90"/>
    <w:bookmarkStart w:name="z98" w:id="91"/>
    <w:p>
      <w:pPr>
        <w:spacing w:after="0"/>
        <w:ind w:left="0"/>
        <w:jc w:val="both"/>
      </w:pPr>
      <w:r>
        <w:rPr>
          <w:rFonts w:ascii="Times New Roman"/>
          <w:b w:val="false"/>
          <w:i w:val="false"/>
          <w:color w:val="000000"/>
          <w:sz w:val="28"/>
        </w:rPr>
        <w:t xml:space="preserve">
      по субъекту правонарушения – запрет "вертикальных" соглашений адресован как минимум двум хозяйствующим субъектам (субъектам рынка); </w:t>
      </w:r>
    </w:p>
    <w:bookmarkEnd w:id="91"/>
    <w:bookmarkStart w:name="z99" w:id="92"/>
    <w:p>
      <w:pPr>
        <w:spacing w:after="0"/>
        <w:ind w:left="0"/>
        <w:jc w:val="both"/>
      </w:pPr>
      <w:r>
        <w:rPr>
          <w:rFonts w:ascii="Times New Roman"/>
          <w:b w:val="false"/>
          <w:i w:val="false"/>
          <w:color w:val="000000"/>
          <w:sz w:val="28"/>
        </w:rPr>
        <w:t>
      по положению хозяйствующих субъектов (субъектов рынка) в структуре товарного рынка – участники "вертикального" соглашения осуществляют деятельность на разных уровнях в структуре одного товарного рынка;</w:t>
      </w:r>
    </w:p>
    <w:bookmarkEnd w:id="92"/>
    <w:bookmarkStart w:name="z100" w:id="93"/>
    <w:p>
      <w:pPr>
        <w:spacing w:after="0"/>
        <w:ind w:left="0"/>
        <w:jc w:val="both"/>
      </w:pPr>
      <w:r>
        <w:rPr>
          <w:rFonts w:ascii="Times New Roman"/>
          <w:b w:val="false"/>
          <w:i w:val="false"/>
          <w:color w:val="000000"/>
          <w:sz w:val="28"/>
        </w:rPr>
        <w:t>
      по характеру взаимодействия хозяйствующих субъектов (субъектов рынка) – участники "вертикального" соглашения достигают взаимной договоренности относительно условий своей экономической деятельности на товарном рынке.</w:t>
      </w:r>
    </w:p>
    <w:bookmarkEnd w:id="93"/>
    <w:bookmarkStart w:name="z101" w:id="94"/>
    <w:p>
      <w:pPr>
        <w:spacing w:after="0"/>
        <w:ind w:left="0"/>
        <w:jc w:val="both"/>
      </w:pPr>
      <w:r>
        <w:rPr>
          <w:rFonts w:ascii="Times New Roman"/>
          <w:b w:val="false"/>
          <w:i w:val="false"/>
          <w:color w:val="000000"/>
          <w:sz w:val="28"/>
        </w:rPr>
        <w:t>
      По результатам проведенного расследования и рассмотрения дела установлено следующее.</w:t>
      </w:r>
    </w:p>
    <w:bookmarkEnd w:id="94"/>
    <w:bookmarkStart w:name="z102" w:id="95"/>
    <w:p>
      <w:pPr>
        <w:spacing w:after="0"/>
        <w:ind w:left="0"/>
        <w:jc w:val="both"/>
      </w:pPr>
      <w:r>
        <w:rPr>
          <w:rFonts w:ascii="Times New Roman"/>
          <w:b w:val="false"/>
          <w:i w:val="false"/>
          <w:color w:val="000000"/>
          <w:sz w:val="28"/>
        </w:rPr>
        <w:t>
      Министерство национальной экономики Республики Казахстан представило в Комиссию материалы, согласно которым товарищество с ограниченной ответственностью "Нитро-Казахстан" (далее – ТОО "Нитро-Казахстан") в 2016 – 2018 годах обращалось по вопросам закупки взрывчатых веществ и средств инициирования с целью их последующей перепродажи в адрес следующих хозяйствующих субъектов (субъектов рынка):</w:t>
      </w:r>
    </w:p>
    <w:bookmarkEnd w:id="95"/>
    <w:bookmarkStart w:name="z103" w:id="96"/>
    <w:p>
      <w:pPr>
        <w:spacing w:after="0"/>
        <w:ind w:left="0"/>
        <w:jc w:val="both"/>
      </w:pPr>
      <w:r>
        <w:rPr>
          <w:rFonts w:ascii="Times New Roman"/>
          <w:b w:val="false"/>
          <w:i w:val="false"/>
          <w:color w:val="000000"/>
          <w:sz w:val="28"/>
        </w:rPr>
        <w:t>
      в Республике Казахстан – ТОО "НПП "Интеррин", ТОО "Искра-Сервис", ТОО "Промвзрыв", товарищество с ограниченной ответственностью "Максам Казахстан", акционерное общество "Орика-Казахстан", АО "Промсинтез", товарищество с ограниченной ответственностью "Фирма "Взрывтехнология" (далее – ТОО "Фирма "Взрывтехнология"), товарищество с ограниченной ответственностью "Фирма "Транзит";</w:t>
      </w:r>
    </w:p>
    <w:bookmarkEnd w:id="96"/>
    <w:bookmarkStart w:name="z104" w:id="97"/>
    <w:p>
      <w:pPr>
        <w:spacing w:after="0"/>
        <w:ind w:left="0"/>
        <w:jc w:val="both"/>
      </w:pPr>
      <w:r>
        <w:rPr>
          <w:rFonts w:ascii="Times New Roman"/>
          <w:b w:val="false"/>
          <w:i w:val="false"/>
          <w:color w:val="000000"/>
          <w:sz w:val="28"/>
        </w:rPr>
        <w:t xml:space="preserve">
      в Российской Федерации – АО "Промсинтез", ФКП "Завод имени Я.М. Свердлова", акционерное общество "Новосибирский завод искусственного волокна", общество с ограниченной ответственностью "Эксперт ВР", АО "НМЗ "Искра", АО "Русперфоратор", акционерное общество "Азот взрыв", федеральное казенное предприятие "Бийский олеумный завод". </w:t>
      </w:r>
    </w:p>
    <w:bookmarkEnd w:id="97"/>
    <w:bookmarkStart w:name="z105" w:id="98"/>
    <w:p>
      <w:pPr>
        <w:spacing w:after="0"/>
        <w:ind w:left="0"/>
        <w:jc w:val="both"/>
      </w:pPr>
      <w:r>
        <w:rPr>
          <w:rFonts w:ascii="Times New Roman"/>
          <w:b w:val="false"/>
          <w:i w:val="false"/>
          <w:color w:val="000000"/>
          <w:sz w:val="28"/>
        </w:rPr>
        <w:t>
      АО "НМЗ "Искра" письмами от 26 апреля 2017 г. № 3021/2811 и от 13 июля 2018 г. № 3021/4719 сообщило о необходимости обращения к его стратегическим партнерам на территории Республики Казахстан – ТОО "Искра-Сервис" и ТОО "НПП "Интеррин", имеющим все необходимые полномочия на направление предложений и осуществление поставок всей номенклатуры продукции на данной территории. АО "НМЗ Искра" письмами от 6 декабря 2018 г. № 3021-8231 и от 20 июня 2018 г. № 3021/4176 аналогичного содержания также уведомило об отказе в реализации средств инициирования товарищество с ограниченной ответственностью "Корпорация Казахмыс" и ТОО "Фирма "Взрывтехнология".</w:t>
      </w:r>
    </w:p>
    <w:bookmarkEnd w:id="98"/>
    <w:bookmarkStart w:name="z106" w:id="99"/>
    <w:p>
      <w:pPr>
        <w:spacing w:after="0"/>
        <w:ind w:left="0"/>
        <w:jc w:val="both"/>
      </w:pPr>
      <w:r>
        <w:rPr>
          <w:rFonts w:ascii="Times New Roman"/>
          <w:b w:val="false"/>
          <w:i w:val="false"/>
          <w:color w:val="000000"/>
          <w:sz w:val="28"/>
        </w:rPr>
        <w:t>
      АО "Промсинтез" письмом от 6 марта 2017 г. № 30/112 уведомило об отказе в реализации взрывчатых веществ, сообщив о необходимости обращения по указанному вопросу к его дилеру на территории Республики Казахстан – ТОО "Промвзрыв". АО "Промсинтез" направило письма от 18 сентября 2017 г. № 30/276, от 11 октября 2017 г. № 30/304, от 24 января 2018 г. № 30/21 и от 7 ноября 2018 г. № 20/247 аналогичного содержания товариществу с ограниченной ответственностью "Корпорация Казахмыс", а также письмо от 17 января 2018 г. № 30/17 ТОО "Фирма "Взрывтехнология" и письмо от 1 марта 2018 г. № 30/64 акционерному обществу "ШалкияЦинк ЛТД".</w:t>
      </w:r>
    </w:p>
    <w:bookmarkEnd w:id="99"/>
    <w:bookmarkStart w:name="z107" w:id="100"/>
    <w:p>
      <w:pPr>
        <w:spacing w:after="0"/>
        <w:ind w:left="0"/>
        <w:jc w:val="both"/>
      </w:pPr>
      <w:r>
        <w:rPr>
          <w:rFonts w:ascii="Times New Roman"/>
          <w:b w:val="false"/>
          <w:i w:val="false"/>
          <w:color w:val="000000"/>
          <w:sz w:val="28"/>
        </w:rPr>
        <w:t xml:space="preserve">
      АО "Русперфоратор" письмами от 15 декабря 2016 г. № 1947/12 и от 11 июля 2018 г. № 410/07 уведомило об отказе в реализации взрывчатых веществ, сообщив о том, что все объемы указанного товара законтрактованы. </w:t>
      </w:r>
    </w:p>
    <w:bookmarkEnd w:id="100"/>
    <w:bookmarkStart w:name="z108" w:id="101"/>
    <w:p>
      <w:pPr>
        <w:spacing w:after="0"/>
        <w:ind w:left="0"/>
        <w:jc w:val="both"/>
      </w:pPr>
      <w:r>
        <w:rPr>
          <w:rFonts w:ascii="Times New Roman"/>
          <w:b w:val="false"/>
          <w:i w:val="false"/>
          <w:color w:val="000000"/>
          <w:sz w:val="28"/>
        </w:rPr>
        <w:t xml:space="preserve">
      ФКП "Завод имени Я.М. Свердлова" посредством электронной почты 13 февраля 2017 г. уведомило об отказе в реализации взрывчатых веществ, сообщив о необходимости обращения по указанному вопросу к своему представителю на территории Республики Казахстан – ТОО "Промвзрыв". </w:t>
      </w:r>
    </w:p>
    <w:bookmarkEnd w:id="101"/>
    <w:bookmarkStart w:name="z109" w:id="102"/>
    <w:p>
      <w:pPr>
        <w:spacing w:after="0"/>
        <w:ind w:left="0"/>
        <w:jc w:val="both"/>
      </w:pPr>
      <w:r>
        <w:rPr>
          <w:rFonts w:ascii="Times New Roman"/>
          <w:b w:val="false"/>
          <w:i w:val="false"/>
          <w:color w:val="000000"/>
          <w:sz w:val="28"/>
        </w:rPr>
        <w:t xml:space="preserve">
      Иные поставщики сообщили об отказе в реализации взрывчатых веществ и средств инициирования ввиду отсутствия свободного объема указанных товаров. </w:t>
      </w:r>
    </w:p>
    <w:bookmarkEnd w:id="102"/>
    <w:bookmarkStart w:name="z110" w:id="103"/>
    <w:p>
      <w:pPr>
        <w:spacing w:after="0"/>
        <w:ind w:left="0"/>
        <w:jc w:val="both"/>
      </w:pPr>
      <w:r>
        <w:rPr>
          <w:rFonts w:ascii="Times New Roman"/>
          <w:b w:val="false"/>
          <w:i w:val="false"/>
          <w:color w:val="000000"/>
          <w:sz w:val="28"/>
        </w:rPr>
        <w:t>
      Согласно представленной в материалах дела информации (документам, сведениям) АО "НМЗ "Искра" реализует средства инициирования в Республику Казахстан на основании заключенных контрактов поставки с ТОО "НПП "Интеррин" от 5 февраля 2018 г. № 3021-120-2018-Э и от 14 февраля 2018 г. № 3021-153-2018-Э и с ТОО "Искра-Сервис" от 7 декабря 2016 г. № 3121-999-2016-Э и от 18 января 2018 г. № 3021-32-2018-Э.</w:t>
      </w:r>
    </w:p>
    <w:bookmarkEnd w:id="103"/>
    <w:bookmarkStart w:name="z111" w:id="104"/>
    <w:p>
      <w:pPr>
        <w:spacing w:after="0"/>
        <w:ind w:left="0"/>
        <w:jc w:val="both"/>
      </w:pPr>
      <w:r>
        <w:rPr>
          <w:rFonts w:ascii="Times New Roman"/>
          <w:b w:val="false"/>
          <w:i w:val="false"/>
          <w:color w:val="000000"/>
          <w:sz w:val="28"/>
        </w:rPr>
        <w:t>
      АО "Промсинтез" в исследуемый период осуществляло поставки данного товара на территорию Республики Казахстан АО "Русперфоратор" на основании заключенных договоров комиссии от 16 октября 2015 г. № 556, от 30 марта 2016 г. № 562, от 23 января 2017 г. № 564, от 10 июля 2017 г. № 567, от 23 января 2018 г. № 568 и от 12 марта 2018 г. № 570.</w:t>
      </w:r>
    </w:p>
    <w:bookmarkEnd w:id="104"/>
    <w:bookmarkStart w:name="z112" w:id="105"/>
    <w:p>
      <w:pPr>
        <w:spacing w:after="0"/>
        <w:ind w:left="0"/>
        <w:jc w:val="both"/>
      </w:pPr>
      <w:r>
        <w:rPr>
          <w:rFonts w:ascii="Times New Roman"/>
          <w:b w:val="false"/>
          <w:i w:val="false"/>
          <w:color w:val="000000"/>
          <w:sz w:val="28"/>
        </w:rPr>
        <w:t>
      АО "Русперфоратор" осуществляет поставки взрывчатых веществ ТОО "Промвзрыв", с которым образует одну группу лиц, на основании заключенных контрактов от 16 октября 2015 г. № 254-Э/2016, от 7 декабря 2016 г. № 282-Э/2017 и от 18 января 2018 г. № 296-Э/2018, которое, в свою очередь, осуществляет дальнейшую перепродажу данного товара на территории Республики Казахстан. Также АО "Промсинтез" осуществляет поставки ТОО "Промвзрыв" в рамках исполнения обязательств по контрактам от 30 сентября 2016 г. № 643/ПС/01-17, от 8 сентября 2017 г. № 643/ПС/01-18 и от 7 сентября 2018 г. № 643/ПС/01-18.</w:t>
      </w:r>
    </w:p>
    <w:bookmarkEnd w:id="105"/>
    <w:bookmarkStart w:name="z113" w:id="106"/>
    <w:p>
      <w:pPr>
        <w:spacing w:after="0"/>
        <w:ind w:left="0"/>
        <w:jc w:val="both"/>
      </w:pPr>
      <w:r>
        <w:rPr>
          <w:rFonts w:ascii="Times New Roman"/>
          <w:b w:val="false"/>
          <w:i w:val="false"/>
          <w:color w:val="000000"/>
          <w:sz w:val="28"/>
        </w:rPr>
        <w:t xml:space="preserve">
      ФКП "Завод имени Я.М. Свердлова" осуществляет поставку взрывчатых веществ в Республику Казахстан АО "Русперфоратор" на основании заключенных контрактов поставки от 26 июня 2017 г. № 21-008/17 и от 13 марта 2018 г. № 21-008/18 и ТОО "Промвзрыв" на основании заключенных контрактов от 9 ноября 2015 г. № 21-001/16, от 23 января 2017 г. № 21-001/17, от 30 мая 2017 г. № 21-007/17, от 28 февраля 2018 г. № 21-008/18 и от 10 января 2019 г. № 21-001/19. </w:t>
      </w:r>
    </w:p>
    <w:bookmarkEnd w:id="106"/>
    <w:bookmarkStart w:name="z114" w:id="107"/>
    <w:p>
      <w:pPr>
        <w:spacing w:after="0"/>
        <w:ind w:left="0"/>
        <w:jc w:val="both"/>
      </w:pPr>
      <w:r>
        <w:rPr>
          <w:rFonts w:ascii="Times New Roman"/>
          <w:b w:val="false"/>
          <w:i w:val="false"/>
          <w:color w:val="000000"/>
          <w:sz w:val="28"/>
        </w:rPr>
        <w:t>
      Данные об объемах, стоимости и структуре сортамента поставок взрывчатых веществ и средств инициирования не приводятся в связи с тем, что такая информация представлена с указанием грифа, свидетельствующего об отнесении информации к конфиденциальной.</w:t>
      </w:r>
    </w:p>
    <w:bookmarkEnd w:id="107"/>
    <w:bookmarkStart w:name="z115" w:id="108"/>
    <w:p>
      <w:pPr>
        <w:spacing w:after="0"/>
        <w:ind w:left="0"/>
        <w:jc w:val="both"/>
      </w:pPr>
      <w:r>
        <w:rPr>
          <w:rFonts w:ascii="Times New Roman"/>
          <w:b w:val="false"/>
          <w:i w:val="false"/>
          <w:color w:val="000000"/>
          <w:sz w:val="28"/>
        </w:rPr>
        <w:t xml:space="preserve">
      Наличие договоренностей о поставках взрывчатых веществ и средств инициирования (в совокупности с имеющимися письмами, содержащими отказ в реализации указанной продукции), подтверждающих практику перенаправления обращений по вопросам приобретения указанной продукции к своим контрагентам, содержит признаки антиконкурентного соглашения. </w:t>
      </w:r>
    </w:p>
    <w:bookmarkEnd w:id="108"/>
    <w:bookmarkStart w:name="z116" w:id="109"/>
    <w:p>
      <w:pPr>
        <w:spacing w:after="0"/>
        <w:ind w:left="0"/>
        <w:jc w:val="both"/>
      </w:pPr>
      <w:r>
        <w:rPr>
          <w:rFonts w:ascii="Times New Roman"/>
          <w:b w:val="false"/>
          <w:i w:val="false"/>
          <w:color w:val="000000"/>
          <w:sz w:val="28"/>
        </w:rPr>
        <w:t>
      В рамках рассмотрения дела факт совершения нарушения общих правил конкуренции на трансграничных рынках ответчиками не признается, в качестве обоснования непризнания данного факта нарушения ими указывается следующее:</w:t>
      </w:r>
    </w:p>
    <w:bookmarkEnd w:id="109"/>
    <w:bookmarkStart w:name="z117" w:id="110"/>
    <w:p>
      <w:pPr>
        <w:spacing w:after="0"/>
        <w:ind w:left="0"/>
        <w:jc w:val="both"/>
      </w:pPr>
      <w:r>
        <w:rPr>
          <w:rFonts w:ascii="Times New Roman"/>
          <w:b w:val="false"/>
          <w:i w:val="false"/>
          <w:color w:val="000000"/>
          <w:sz w:val="28"/>
        </w:rPr>
        <w:t>
      взрывчатые вещества и средства инициирования являются товарами, гражданский оборот которых (в частности, изготовление, хранение, транспортировка и иные способы оборота и использования) является лицензируемым видом деятельности. Реализация указанных товаров из одного государства-члена в другое государство-член предполагает разрешительный порядок. Производство осуществляется в Российской Федерации с последующими поставками, в том числе в государства-члены, что в соответствии с законодательством Российской Федерации подразумевает выдачу разрешения на экспорт;</w:t>
      </w:r>
    </w:p>
    <w:bookmarkEnd w:id="110"/>
    <w:bookmarkStart w:name="z118" w:id="111"/>
    <w:p>
      <w:pPr>
        <w:spacing w:after="0"/>
        <w:ind w:left="0"/>
        <w:jc w:val="both"/>
      </w:pPr>
      <w:r>
        <w:rPr>
          <w:rFonts w:ascii="Times New Roman"/>
          <w:b w:val="false"/>
          <w:i w:val="false"/>
          <w:color w:val="000000"/>
          <w:sz w:val="28"/>
        </w:rPr>
        <w:t>
      АО "Промсинтез" указывает, что отказы в заключении контрактов на поставку взрывчатых веществ и средств инициирования обусловлены в том числе имевшимися контрактными обязательствами по ранее заключенным договорам с учетом загрузки производственных мощностей в их временном задействовании. При отборе контрагентов приоритет имеют потребители конечной продукции. Имевшиеся в отдельные периоды товарные запасы в складских помещениях данной организации обусловлены наличием временных колебаний в потреблении, указанный объем формируется с учетом необходимости обеспечения поставок в следующий временной период контрактных обязательств. Отмечено, что по отдельным видам продукции производство требуемого по контракту объема и организация его последующей логистики до потребителя могут занимать до 3 месяцев. В качестве примера АО "Промсинтез" представило соотношение объемов контрактных обязательств и имевшихся товарных запасов в соотношении со своими производственными мощностями за период 2017 – 2019 годы, в рамках которых указаны отдельные пиковые периоды, в которые запросы на поставки превышали возможности производственных мощностей. В части взаимоотношений с ТОО "Промвзрыв" АО "Промсинтез" сообщило, что ТОО "Промвзрыв" является официальным представителем АО "Промсинтез" и указанный ряд обстоятельств обусловлен особенностями законодательного регулирования в Российской Федерации и Республике Казахстан, а именно требованиями лицензионно-разрешительного законодательства, ограничениями в обороте продукции, отнесенной к продукции двойного назначения, а также факторами контроля за качеством и оборотом такой продукции. В частности, несоблюдение требований по хранению взрывчатых веществ и средств инициирования может повлечь за собой нарушения требований к маркировке, составу и безопасности продукции, и, как следствие, к ответственности (гражданской, административной или уголовной) будет привлечен не только собственник такой продукции, но и ее производитель. В связи с этим длительность и надежность отношений с контрагентом являются для производителя дополнительной гарантией минимизации рисков неблагоприятных последствий от обращения продукции на рынках других стран;</w:t>
      </w:r>
    </w:p>
    <w:bookmarkEnd w:id="111"/>
    <w:bookmarkStart w:name="z119" w:id="112"/>
    <w:p>
      <w:pPr>
        <w:spacing w:after="0"/>
        <w:ind w:left="0"/>
        <w:jc w:val="both"/>
      </w:pPr>
      <w:r>
        <w:rPr>
          <w:rFonts w:ascii="Times New Roman"/>
          <w:b w:val="false"/>
          <w:i w:val="false"/>
          <w:color w:val="000000"/>
          <w:sz w:val="28"/>
        </w:rPr>
        <w:t xml:space="preserve">
      ФКП "Завод имени Я.М. Свердлова" сообщило, что имеет длительные контрактные отношения с ТОО "Промвзрыв", в рамках которых поручает последнему в том числе представлять интересы производителя по продвижению продукции также и при осуществлении закупок (реализации) товара, приобретаемого (реализуемого) в рамках конкурентных процедур, включая государственные закупки. В своей деятельности по организации взаимодействия с ТОО "Промвзрыв" ФКП "Завод имени Я.М. Свердлова" руководствуется стандартом (СТО 07510508-53-2016 "Система качества предприятия"), что способствовало выбору ТОО "Промвзрыв" в качестве контрагента по поставке производимой продукции в Республику Казахстан. </w:t>
      </w:r>
    </w:p>
    <w:bookmarkEnd w:id="112"/>
    <w:bookmarkStart w:name="z120" w:id="113"/>
    <w:p>
      <w:pPr>
        <w:spacing w:after="0"/>
        <w:ind w:left="0"/>
        <w:jc w:val="both"/>
      </w:pPr>
      <w:r>
        <w:rPr>
          <w:rFonts w:ascii="Times New Roman"/>
          <w:b w:val="false"/>
          <w:i w:val="false"/>
          <w:color w:val="000000"/>
          <w:sz w:val="28"/>
        </w:rPr>
        <w:t>
      ТОО "Промвзрыв" фактически осуществляет для ФКП "Завод имени Я.М. Свердлова" функцию товаропроводящей сети, то есть агрегирует на своих складах необходимый сортамент продукции для максимального удовлетворения спроса, а также, будучи хозяйствующим субъектом (субъектом рынка) Республики Казахстан, имеет достаточную компетенцию, необходимые лицензионно-разрешительные документы и специализированные склады, места хранения и подъездные железнодорожные пути, которые соответствуют требованиям законодательства Республики Казахстан и минимизируют для производителя риски возникновения претензий к производимой им продукции. Также ТОО "Промвзрыв" в рамках осуществления функций товаропроводящей сети проводит мониторинг запросов потребителей на продукцию, отслеживает закупки соответствующей продукции и участвует в них для представления продукции ФКП "Завод имени Я.М. Свердлова" на соответствующих товарных рынках Республики Казахстан, в том числе формирует товарные запасы в целях осуществления разовых поставок или незначительных по объему поставок в Республику Казахстан, что позволяет достичь максимально оптимальной логистики и стоимости продукции. В рамках реализуемой в Республике Казахстан программы по минимизации расходов и поддержки местных производителей, предусматривающей в том числе получение 20-процентной скидки при участии в конкурентных процедурах закупки, ФКП "Завод имени Я.М. Свердлова" имеет контракты на поставку отдельных комплектующих и веществ, что позволяет достигать эффекта промышленной кооперации на рынке Республики Казахстан. Отказы, имевшие место в отдельные периоды в отношении некоторых контрагентов, обусловлены как отсутствием свободных товарных запасов или производственных мощностей для производства соответствующих товаров, так и рисками возможных последствий ввиду недобросовестных действий контрагентов, в том числе фактами установления нарушения условий хранения и оборота взрывчатых веществ и средств инициирования, что могло повлечь риск привлечения к ответственности и для производителя;</w:t>
      </w:r>
    </w:p>
    <w:bookmarkEnd w:id="113"/>
    <w:bookmarkStart w:name="z121" w:id="114"/>
    <w:p>
      <w:pPr>
        <w:spacing w:after="0"/>
        <w:ind w:left="0"/>
        <w:jc w:val="both"/>
      </w:pPr>
      <w:r>
        <w:rPr>
          <w:rFonts w:ascii="Times New Roman"/>
          <w:b w:val="false"/>
          <w:i w:val="false"/>
          <w:color w:val="000000"/>
          <w:sz w:val="28"/>
        </w:rPr>
        <w:t>
      АО "Русперфоратор" отмечает, что на запрос коммерческого предложения ТОО "Нитро-Казахстан" от 9 июля 2018 г. письмом от 20 мая 2019 г. № 358/05 уведомило об отказе в рассмотрении вопроса о сотрудничестве по причине отсутствия соответствующих запросу производственных возможностей в связи с выборкой объема продукции, утвержденной Министерством промышленности и торговли Российской Федерации, для целей экспорта и законтрактованности указанного объема. В связи с этим ТОО "Нитро-Казахстан" было предложено обратиться непосредственно к контрагенту в Республике Казахстан, которому осуществляется поставка, в целях закупки необходимого товара. Отмечается, что процедура получения разрешения на увеличение объема экспортируемой продукции является трудоемким и затратным процессом, а наличие лишь одного запроса коммерческого предложения без указания гарантированного объема закупки товара является нецелесообразным для инициирования соответствующей процедуры;</w:t>
      </w:r>
    </w:p>
    <w:bookmarkEnd w:id="114"/>
    <w:bookmarkStart w:name="z122" w:id="115"/>
    <w:p>
      <w:pPr>
        <w:spacing w:after="0"/>
        <w:ind w:left="0"/>
        <w:jc w:val="both"/>
      </w:pPr>
      <w:r>
        <w:rPr>
          <w:rFonts w:ascii="Times New Roman"/>
          <w:b w:val="false"/>
          <w:i w:val="false"/>
          <w:color w:val="000000"/>
          <w:sz w:val="28"/>
        </w:rPr>
        <w:t xml:space="preserve">
      АО "НМЗ "Искра" сообщило, что самостоятельно осуществляет оптово-розничную реализацию средств инициирования на территории Российской Федерации хозяйствующим субъектам (субъектам рынка) государств-членов, которые используют данный товар как с целью перепродажи, так и для конечного потребления. АО "НМЗ "Искра" реализует средства инициирования в Республику Казахстан на основании заключенных контрактов с ТОО "НПП "Интеррин", которое в последующем организует необходимый сортамент продукции и его дальнейшую реализацию конечному потребителю. Таким образом, ТОО "НПП "Интеррин" реализует функцию товаропроводящей сети для АО "НМЗ "Искра". В части отказа от дальнейшего сотрудничества с ТОО "Нитро-Казахстан" сообщается, что Пак О.А. является собственником ТОО "Нитро-Казахстан", в группу лиц которого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Протокола входят и иные хозяйствующие субъекты (субъекты рынка) Республики Казахстан. </w:t>
      </w:r>
    </w:p>
    <w:bookmarkEnd w:id="115"/>
    <w:bookmarkStart w:name="z123" w:id="116"/>
    <w:p>
      <w:pPr>
        <w:spacing w:after="0"/>
        <w:ind w:left="0"/>
        <w:jc w:val="both"/>
      </w:pPr>
      <w:r>
        <w:rPr>
          <w:rFonts w:ascii="Times New Roman"/>
          <w:b w:val="false"/>
          <w:i w:val="false"/>
          <w:color w:val="000000"/>
          <w:sz w:val="28"/>
        </w:rPr>
        <w:t xml:space="preserve">
      Сообщается также, что сотрудничество АО "НМЗ "Искра" с указанным субъектом рынка было отмечено рядом недобросовестных действий с его стороны как участника договорных отношений (в частности, имели место факты нарушения договорных обязательств, отсутствие своевременной оплаты в порядке, определяемом договором, позиционирование и маркетинговые действия, направленные на позиционирование продукции иных производителей, преимущественно из Китайской Народной Республики, в том числе как продукции АО "НМЗ "Искра"). Указанные действия в своей совокупности расценены АО "НМЗ "Искра" как недобросовестные, в связи с чем сотрудничество с указанным субъектом рынка прекращено. При организации поставок продукции в Республику Казахстан и отборе контрагента для указанных целей АО "НМЗ "Искра" исходит из наличия свободных товарных запасов или производственных мощностей для производства соответствующих товаров, рисков возможных последствий в отношении недобросовестных действий контрагентов, имевших место фактов установления нарушения условий хранения и оборота взрывчатых веществ и средств инициирования, что могло повлечь риск привлечения к ответственности и для производителя, а также наличия у потенциального контрагента необходимых лицензий и разрешений, опыта сотрудничества с контрагентом, оптимальности сортамента и условий поставок. АО "НМЗ "Искра" пояснило, что заключило контракты с ТОО "НПП "Интеррин" и ТОО "Искра-Сервис" на поставку средств инициирования и комплектующих для их производства, а также договор с ТОО "Искра-Сервис" на передачу во временное пользование на возмездной основе технических условий на сборку неэлектрических систем инициирования марки "Искра". При отборе контрагентов и выработке условий сотрудничества с ними АО "НМЗ "Искра" исходило из обстоятельств, изложенных ранее, а также из необходимости формирования возможностей для задействования комплектующих в составе конечных изделий таким образом, чтобы конечное изделие при проведении конкурентных процедур закупок имело конкурентные преимущества, в том числе и по цене. При отборе контрагентов АО "НМЗ "Искра" согласно положению о ценовой политике, утвержденному приказом генерального директора Вандакурова А.Н. от 3 июля 2014 г. № 410, действовавшему в исследуемый период, учитывается в том числе знание потенциальным контрагентом специфики рынка, ситуации в отрасли в регионах присутствия, а также наличие у него ресурсной базы для возможности конкурирования в регионе присутствия продукции. Также АО "НМЗ "Искра" отметило, что для целей реализации взрывчатых веществ и средств инициирования на территориях государств-членов представляет для себя наиболее оптимальным и целесообразным наличие одного хозяйствующего субъекта (субъекта рынка), имеющего необходимые лицензионно-разрешительные документы, обладающего достаточными знаниями специфики регулирования в соответствующем государстве-члене. При участии такого хозяйствующего субъекта (субъекта рынка) представляется целесообразным отслеживать необходимый уровень сортамента и объема продукции АО "НМЗ "Искра" на территории Республики Казахстан, в том числе для организации оптимальной логистическо-транспортной структуры и исключения рисков затоваривания складов; </w:t>
      </w:r>
    </w:p>
    <w:bookmarkEnd w:id="116"/>
    <w:bookmarkStart w:name="z124" w:id="117"/>
    <w:p>
      <w:pPr>
        <w:spacing w:after="0"/>
        <w:ind w:left="0"/>
        <w:jc w:val="both"/>
      </w:pPr>
      <w:r>
        <w:rPr>
          <w:rFonts w:ascii="Times New Roman"/>
          <w:b w:val="false"/>
          <w:i w:val="false"/>
          <w:color w:val="000000"/>
          <w:sz w:val="28"/>
        </w:rPr>
        <w:t xml:space="preserve">
      ТОО "НПП "Интеррин" и ТОО "Искра-Сервис"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Протокола образуют одну группу лиц и в связи с этим являются единым субъектом рынка в Республике Казахстан, осуществляющим производство взрывчатых веществ и сборку средств инициирования, а также их реализацию, и, как правило, импортируют данные товары и их комплектующие от производителей Российской Федерации – АО "НМЗ "Искра" и акционерного общества "Техмашсервис", которые на основании </w:t>
      </w:r>
      <w:r>
        <w:rPr>
          <w:rFonts w:ascii="Times New Roman"/>
          <w:b w:val="false"/>
          <w:i w:val="false"/>
          <w:color w:val="000000"/>
          <w:sz w:val="28"/>
        </w:rPr>
        <w:t>подпункта 5</w:t>
      </w:r>
      <w:r>
        <w:rPr>
          <w:rFonts w:ascii="Times New Roman"/>
          <w:b w:val="false"/>
          <w:i w:val="false"/>
          <w:color w:val="000000"/>
          <w:sz w:val="28"/>
        </w:rPr>
        <w:t xml:space="preserve"> пункта 2 Протокола также образуют одну группу лиц и в связи с этим являются единым субъектом рынка. ТОО "НПП "Интеррин" приобретало продукцию у АО "НМЗ "Искра" и о потребности в приобретении аналогичной продукции у сторонних производителей не заявляло. Также ТОО "НПП "Интеррин" считает для себя целесообразным, учитывая специфичность рынка реализации средств инициирования, закупку продукции в других государствах-членах посредством взаимодействия с одним или двумя хозяйствующими субъектами (субъектами рынка). ТОО "НПП "Интеррин" более 15 лет осуществляет закупку неэлектрических систем инициирования у АО "НМЗ "Искра". За указанный период фактов неисполнения или ненадлежащего исполнения контрагентом договорных обязательств не отмечено. Поставляемая продукция в полной мере обеспечивает потребности ТОО "НПП "Интеррин", в связи с чем поиск альтернативных источников поставок не осуществлялся. Продукция АО "НМЗ "Искра" приобретается ТОО "НПП "Интеррин" частично для последующей перепродажи, частично – для производственного потребления. </w:t>
      </w:r>
    </w:p>
    <w:bookmarkEnd w:id="117"/>
    <w:bookmarkStart w:name="z125" w:id="118"/>
    <w:p>
      <w:pPr>
        <w:spacing w:after="0"/>
        <w:ind w:left="0"/>
        <w:jc w:val="both"/>
      </w:pPr>
      <w:r>
        <w:rPr>
          <w:rFonts w:ascii="Times New Roman"/>
          <w:b w:val="false"/>
          <w:i w:val="false"/>
          <w:color w:val="000000"/>
          <w:sz w:val="28"/>
        </w:rPr>
        <w:t>
      ТОО "Искра-Сервис", специализирующееся на сборочном производстве продукции марки "Искра", приобретает в основном комплектующие и вещества, необходимые для производства средств инициирования. ТОО "Искра-Сервис" является представителем АО "НМЗ "Искра" в Республике Казахстан и его стратегическим партнером, а также производит отдельные виды продукции согласно техническим условиям АО "НМЗ "Искра" по отдельно заключенному договору. Отбор им контрагентов при закупке взрывчатых веществ и средств инициирования, включая комплектующие к ним, основывается на длительности сотрудничества с производителем, отсутствии с его стороны фактов неисполнения или ненадлежащего исполнения взятых договорных обязательств, наличии необходимых лицензионно-разрешительных документов, а также приемлемости стоимости товара и условий его поставки.</w:t>
      </w:r>
    </w:p>
    <w:bookmarkEnd w:id="118"/>
    <w:bookmarkStart w:name="z126" w:id="119"/>
    <w:p>
      <w:pPr>
        <w:spacing w:after="0"/>
        <w:ind w:left="0"/>
        <w:jc w:val="both"/>
      </w:pPr>
      <w:r>
        <w:rPr>
          <w:rFonts w:ascii="Times New Roman"/>
          <w:b w:val="false"/>
          <w:i w:val="false"/>
          <w:color w:val="000000"/>
          <w:sz w:val="28"/>
        </w:rPr>
        <w:t>
      Также ответчиками представлена и иная информация (документы, сведения, позиции), в том числе с указанием грифа, свидетельствующего об отнесении информации к конфиденциальной, которая приобщена к материалам дела.</w:t>
      </w:r>
    </w:p>
    <w:bookmarkEnd w:id="119"/>
    <w:bookmarkStart w:name="z127" w:id="120"/>
    <w:p>
      <w:pPr>
        <w:spacing w:after="0"/>
        <w:ind w:left="0"/>
        <w:jc w:val="both"/>
      </w:pPr>
      <w:r>
        <w:rPr>
          <w:rFonts w:ascii="Times New Roman"/>
          <w:b w:val="false"/>
          <w:i w:val="false"/>
          <w:color w:val="000000"/>
          <w:sz w:val="28"/>
        </w:rPr>
        <w:t>
      Учитывая поступившие в рамках рассмотрения дела ходатайства о привлечении лиц, располагающих сведениями об обстоятельствах дела, к участию в рассмотрении дела, комиссией по рассмотрению дела определением от 27 сентября 2019 г. привлечены: Министерство индустрии и инфраструктурного развития Республики Казахстан, Министерство промышленности и торговли Российской Федерации и Федеральная служба по техническому и экспортному контролю (далее – ФСТЭК).</w:t>
      </w:r>
    </w:p>
    <w:bookmarkEnd w:id="120"/>
    <w:p>
      <w:pPr>
        <w:spacing w:after="0"/>
        <w:ind w:left="0"/>
        <w:jc w:val="both"/>
      </w:pPr>
      <w:bookmarkStart w:name="z128" w:id="121"/>
      <w:r>
        <w:rPr>
          <w:rFonts w:ascii="Times New Roman"/>
          <w:b w:val="false"/>
          <w:i w:val="false"/>
          <w:color w:val="000000"/>
          <w:sz w:val="28"/>
        </w:rPr>
        <w:t xml:space="preserve">
      В рамках рассмотрения дела 14 октября 2019 г. представитель ФСТЭК пояснил, что деятельность по изготовлению, хранению, транспортировке взрывчатых веществ и средств инициирования </w:t>
      </w:r>
    </w:p>
    <w:bookmarkEnd w:id="121"/>
    <w:p>
      <w:pPr>
        <w:spacing w:after="0"/>
        <w:ind w:left="0"/>
        <w:jc w:val="both"/>
      </w:pPr>
      <w:r>
        <w:rPr>
          <w:rFonts w:ascii="Times New Roman"/>
          <w:b w:val="false"/>
          <w:i w:val="false"/>
          <w:color w:val="000000"/>
          <w:sz w:val="28"/>
        </w:rPr>
        <w:t>в Российской Федерации относится к лицензируемому виду деятельности. Также, с учетом требований законодательства Российской Федерации и международных обязательств Российской Федерации по недопущению незаконного распространения и оборота товаров двойного назначения в отношении взрывчатых веществ и средств инициирования осуществляется экспортный контроль, что предполагает необходимость получения разрешения на вывоз указанной продукции за пределы Российской Федерации. При этом указанное разрешение выдается на основании экспортного контракта с указанием страны, объема товара и потребителя, в отношении которого предполагается осуществление поставки. В связи с этим представитель ФСТЭК дал пояснения об имеющихся обязательствах производителей и поставщиков взрывчатых веществ и средств инициирования, что свидетельствует в пользу того, что гражданский оборот указанных товаров значительно ограничен в своей свободе в сравнении с иными товарами и услугами, в отношении которых не действуют указанные нормы, правила и требования.</w:t>
      </w:r>
    </w:p>
    <w:bookmarkStart w:name="z129" w:id="122"/>
    <w:p>
      <w:pPr>
        <w:spacing w:after="0"/>
        <w:ind w:left="0"/>
        <w:jc w:val="both"/>
      </w:pPr>
      <w:r>
        <w:rPr>
          <w:rFonts w:ascii="Times New Roman"/>
          <w:b w:val="false"/>
          <w:i w:val="false"/>
          <w:color w:val="000000"/>
          <w:sz w:val="28"/>
        </w:rPr>
        <w:t xml:space="preserve">
      В рамках рассмотрения дела комиссией по рассмотрению дела в связи с необходимостью получения экспертных мнений (заключений, позиций) 14 октября 2019 г. к участию в рассмотрении дела привлечены следующие эксперты: </w:t>
      </w:r>
    </w:p>
    <w:bookmarkEnd w:id="122"/>
    <w:bookmarkStart w:name="z130" w:id="123"/>
    <w:p>
      <w:pPr>
        <w:spacing w:after="0"/>
        <w:ind w:left="0"/>
        <w:jc w:val="both"/>
      </w:pPr>
      <w:r>
        <w:rPr>
          <w:rFonts w:ascii="Times New Roman"/>
          <w:b w:val="false"/>
          <w:i w:val="false"/>
          <w:color w:val="000000"/>
          <w:sz w:val="28"/>
        </w:rPr>
        <w:t xml:space="preserve">
      товарищество с ограниченной ответственностью "Industrial Safety Kazakhstan"; </w:t>
      </w:r>
    </w:p>
    <w:bookmarkEnd w:id="123"/>
    <w:bookmarkStart w:name="z131" w:id="124"/>
    <w:p>
      <w:pPr>
        <w:spacing w:after="0"/>
        <w:ind w:left="0"/>
        <w:jc w:val="both"/>
      </w:pPr>
      <w:r>
        <w:rPr>
          <w:rFonts w:ascii="Times New Roman"/>
          <w:b w:val="false"/>
          <w:i w:val="false"/>
          <w:color w:val="000000"/>
          <w:sz w:val="28"/>
        </w:rPr>
        <w:t>
      независимая специализированная экспертная организация товарищество с ограниченной ответственностью "ВзрывЭкспертиза";</w:t>
      </w:r>
    </w:p>
    <w:bookmarkEnd w:id="124"/>
    <w:bookmarkStart w:name="z132" w:id="125"/>
    <w:p>
      <w:pPr>
        <w:spacing w:after="0"/>
        <w:ind w:left="0"/>
        <w:jc w:val="both"/>
      </w:pPr>
      <w:r>
        <w:rPr>
          <w:rFonts w:ascii="Times New Roman"/>
          <w:b w:val="false"/>
          <w:i w:val="false"/>
          <w:color w:val="000000"/>
          <w:sz w:val="28"/>
        </w:rPr>
        <w:t xml:space="preserve">
      объединение юридических лиц "Ассоциация инженеров-взрывников Казахстана"; </w:t>
      </w:r>
    </w:p>
    <w:bookmarkEnd w:id="125"/>
    <w:bookmarkStart w:name="z133" w:id="126"/>
    <w:p>
      <w:pPr>
        <w:spacing w:after="0"/>
        <w:ind w:left="0"/>
        <w:jc w:val="both"/>
      </w:pPr>
      <w:r>
        <w:rPr>
          <w:rFonts w:ascii="Times New Roman"/>
          <w:b w:val="false"/>
          <w:i w:val="false"/>
          <w:color w:val="000000"/>
          <w:sz w:val="28"/>
        </w:rPr>
        <w:t xml:space="preserve">
      АО "НЦ ВостНИИ"; </w:t>
      </w:r>
    </w:p>
    <w:bookmarkEnd w:id="126"/>
    <w:bookmarkStart w:name="z134" w:id="127"/>
    <w:p>
      <w:pPr>
        <w:spacing w:after="0"/>
        <w:ind w:left="0"/>
        <w:jc w:val="both"/>
      </w:pPr>
      <w:r>
        <w:rPr>
          <w:rFonts w:ascii="Times New Roman"/>
          <w:b w:val="false"/>
          <w:i w:val="false"/>
          <w:color w:val="000000"/>
          <w:sz w:val="28"/>
        </w:rPr>
        <w:t xml:space="preserve">
      акционерное общество "Инженерно-технический центр независимой экспертизы безопасности и сертификации взрывчатых материалов"; </w:t>
      </w:r>
    </w:p>
    <w:bookmarkEnd w:id="127"/>
    <w:bookmarkStart w:name="z135" w:id="128"/>
    <w:p>
      <w:pPr>
        <w:spacing w:after="0"/>
        <w:ind w:left="0"/>
        <w:jc w:val="both"/>
      </w:pPr>
      <w:r>
        <w:rPr>
          <w:rFonts w:ascii="Times New Roman"/>
          <w:b w:val="false"/>
          <w:i w:val="false"/>
          <w:color w:val="000000"/>
          <w:sz w:val="28"/>
        </w:rPr>
        <w:t xml:space="preserve">
      акционерное общество "Государственный научно-исследовательский институт "Кристалл"; </w:t>
      </w:r>
    </w:p>
    <w:bookmarkEnd w:id="128"/>
    <w:bookmarkStart w:name="z136" w:id="129"/>
    <w:p>
      <w:pPr>
        <w:spacing w:after="0"/>
        <w:ind w:left="0"/>
        <w:jc w:val="both"/>
      </w:pPr>
      <w:r>
        <w:rPr>
          <w:rFonts w:ascii="Times New Roman"/>
          <w:b w:val="false"/>
          <w:i w:val="false"/>
          <w:color w:val="000000"/>
          <w:sz w:val="28"/>
        </w:rPr>
        <w:t>
      акционерное общество "СпецПромЭкспертиза";</w:t>
      </w:r>
    </w:p>
    <w:bookmarkEnd w:id="129"/>
    <w:bookmarkStart w:name="z137" w:id="130"/>
    <w:p>
      <w:pPr>
        <w:spacing w:after="0"/>
        <w:ind w:left="0"/>
        <w:jc w:val="both"/>
      </w:pPr>
      <w:r>
        <w:rPr>
          <w:rFonts w:ascii="Times New Roman"/>
          <w:b w:val="false"/>
          <w:i w:val="false"/>
          <w:color w:val="000000"/>
          <w:sz w:val="28"/>
        </w:rPr>
        <w:t>
      товарищество с ограниченной ответственностью "ВзрывЭкспертиза";</w:t>
      </w:r>
    </w:p>
    <w:bookmarkEnd w:id="130"/>
    <w:bookmarkStart w:name="z138" w:id="131"/>
    <w:p>
      <w:pPr>
        <w:spacing w:after="0"/>
        <w:ind w:left="0"/>
        <w:jc w:val="both"/>
      </w:pPr>
      <w:r>
        <w:rPr>
          <w:rFonts w:ascii="Times New Roman"/>
          <w:b w:val="false"/>
          <w:i w:val="false"/>
          <w:color w:val="000000"/>
          <w:sz w:val="28"/>
        </w:rPr>
        <w:t>
      товарищество с ограниченной ответственностью "Орттен Коргау";</w:t>
      </w:r>
    </w:p>
    <w:bookmarkEnd w:id="131"/>
    <w:bookmarkStart w:name="z139" w:id="132"/>
    <w:p>
      <w:pPr>
        <w:spacing w:after="0"/>
        <w:ind w:left="0"/>
        <w:jc w:val="both"/>
      </w:pPr>
      <w:r>
        <w:rPr>
          <w:rFonts w:ascii="Times New Roman"/>
          <w:b w:val="false"/>
          <w:i w:val="false"/>
          <w:color w:val="000000"/>
          <w:sz w:val="28"/>
        </w:rPr>
        <w:t>
      индивидуальный предприниматель Маслов И.Ю.</w:t>
      </w:r>
    </w:p>
    <w:bookmarkEnd w:id="132"/>
    <w:bookmarkStart w:name="z140" w:id="133"/>
    <w:p>
      <w:pPr>
        <w:spacing w:after="0"/>
        <w:ind w:left="0"/>
        <w:jc w:val="both"/>
      </w:pPr>
      <w:r>
        <w:rPr>
          <w:rFonts w:ascii="Times New Roman"/>
          <w:b w:val="false"/>
          <w:i w:val="false"/>
          <w:color w:val="000000"/>
          <w:sz w:val="28"/>
        </w:rPr>
        <w:t xml:space="preserve">
      Перед экспертами в рамках дела были поставлены следующие вопросы: </w:t>
      </w:r>
    </w:p>
    <w:bookmarkEnd w:id="133"/>
    <w:bookmarkStart w:name="z141" w:id="134"/>
    <w:p>
      <w:pPr>
        <w:spacing w:after="0"/>
        <w:ind w:left="0"/>
        <w:jc w:val="both"/>
      </w:pPr>
      <w:r>
        <w:rPr>
          <w:rFonts w:ascii="Times New Roman"/>
          <w:b w:val="false"/>
          <w:i w:val="false"/>
          <w:color w:val="000000"/>
          <w:sz w:val="28"/>
        </w:rPr>
        <w:t>
      какие взрывчатые вещества и (или) средства инициирования, производимые и (или) реализуемые ответчиками и (или) иными лицами (при наличии), с учетом их функционального назначения, целей приобретения, качественных и технических характеристик, цены, условий реализации и особенностей маркетинга могут быть признаны взаимозаменяемыми и какие из них таковыми признаны быть не могут;</w:t>
      </w:r>
    </w:p>
    <w:bookmarkEnd w:id="134"/>
    <w:bookmarkStart w:name="z142" w:id="135"/>
    <w:p>
      <w:pPr>
        <w:spacing w:after="0"/>
        <w:ind w:left="0"/>
        <w:jc w:val="both"/>
      </w:pPr>
      <w:r>
        <w:rPr>
          <w:rFonts w:ascii="Times New Roman"/>
          <w:b w:val="false"/>
          <w:i w:val="false"/>
          <w:color w:val="000000"/>
          <w:sz w:val="28"/>
        </w:rPr>
        <w:t>
      какие технические, качественные и иные характеристики взрывчатых веществ и (или) средств инициирования препятствуют замене одного товара другим товаром.</w:t>
      </w:r>
    </w:p>
    <w:bookmarkEnd w:id="135"/>
    <w:bookmarkStart w:name="z143" w:id="136"/>
    <w:p>
      <w:pPr>
        <w:spacing w:after="0"/>
        <w:ind w:left="0"/>
        <w:jc w:val="both"/>
      </w:pPr>
      <w:r>
        <w:rPr>
          <w:rFonts w:ascii="Times New Roman"/>
          <w:b w:val="false"/>
          <w:i w:val="false"/>
          <w:color w:val="000000"/>
          <w:sz w:val="28"/>
        </w:rPr>
        <w:t>
      В связи с проведением экспертизы определением от 17 октября 2019 г. № 52/опр рассмотрение дела приостановлено.</w:t>
      </w:r>
    </w:p>
    <w:bookmarkEnd w:id="136"/>
    <w:bookmarkStart w:name="z144" w:id="137"/>
    <w:p>
      <w:pPr>
        <w:spacing w:after="0"/>
        <w:ind w:left="0"/>
        <w:jc w:val="both"/>
      </w:pPr>
      <w:r>
        <w:rPr>
          <w:rFonts w:ascii="Times New Roman"/>
          <w:b w:val="false"/>
          <w:i w:val="false"/>
          <w:color w:val="000000"/>
          <w:sz w:val="28"/>
        </w:rPr>
        <w:t xml:space="preserve">
      Товарищество с ограниченной ответственностью "Industrial Safety Kazakhstan" письмом от 25 февраля 2021 г. № 01/03-21, АО "НЦ ВостНИИ" письмом от 21 января 2020 г. № 856, акционерное общество "Государственный научно-исследовательский институт "Кристалл" письмами от 15 февраля 2021 г. № 2474 и от 15 февраля 2021 № 2504 и товарищество с ограниченной ответственностью "ВзрывЭкспертиза" письмом от 3 декабря 2019 г. № 20791 представили результаты экспертиз, из содержания которых следует, что взрывчатые вещества и средства инициирования, производимые ответчиками внутри одной товарной группы, могут быть взаимозаменяемыми при определенных видах работ. При этом возможность замены одного товара другим не означает, что указанные товары полностью взаимозаменяемы с учетом технических, функциональных и иных особенностей, предполагающих, что при определенных видах работ указанные товары могут быть заменены другими товарами. </w:t>
      </w:r>
    </w:p>
    <w:bookmarkEnd w:id="137"/>
    <w:bookmarkStart w:name="z145" w:id="138"/>
    <w:p>
      <w:pPr>
        <w:spacing w:after="0"/>
        <w:ind w:left="0"/>
        <w:jc w:val="both"/>
      </w:pPr>
      <w:r>
        <w:rPr>
          <w:rFonts w:ascii="Times New Roman"/>
          <w:b w:val="false"/>
          <w:i w:val="false"/>
          <w:color w:val="000000"/>
          <w:sz w:val="28"/>
        </w:rPr>
        <w:t>
      Учитывая полученные результаты экспертизы, комиссия по рассмотрению дела возобновила рассмотрение дела, о чем вынесла соответствующее определение, а результаты полученных экспертиз были приобщены к материалам дела.</w:t>
      </w:r>
    </w:p>
    <w:bookmarkEnd w:id="138"/>
    <w:bookmarkStart w:name="z146" w:id="139"/>
    <w:p>
      <w:pPr>
        <w:spacing w:after="0"/>
        <w:ind w:left="0"/>
        <w:jc w:val="both"/>
      </w:pPr>
      <w:r>
        <w:rPr>
          <w:rFonts w:ascii="Times New Roman"/>
          <w:b w:val="false"/>
          <w:i w:val="false"/>
          <w:color w:val="000000"/>
          <w:sz w:val="28"/>
        </w:rPr>
        <w:t>
      В рамках рассмотрения дела комиссии по рассмотрению дела были представлены и заявлены позиции (мнения, пояснения) иных участников рассматриваемого дела, включая позиции (но не ограничиваясь ими) Министерства антимонопольного регулирования и торговли Республики Беларусь и Федеральной антимонопольной службы, которые в установленном порядке были приобщены к материалам дела.</w:t>
      </w:r>
    </w:p>
    <w:bookmarkEnd w:id="139"/>
    <w:bookmarkStart w:name="z147" w:id="140"/>
    <w:p>
      <w:pPr>
        <w:spacing w:after="0"/>
        <w:ind w:left="0"/>
        <w:jc w:val="both"/>
      </w:pPr>
      <w:r>
        <w:rPr>
          <w:rFonts w:ascii="Times New Roman"/>
          <w:b w:val="false"/>
          <w:i w:val="false"/>
          <w:color w:val="000000"/>
          <w:sz w:val="28"/>
        </w:rPr>
        <w:t>
      По результатам рассмотрения дела комиссия по рассмотрению дела пришла к следующим выводам.</w:t>
      </w:r>
    </w:p>
    <w:bookmarkEnd w:id="140"/>
    <w:bookmarkStart w:name="z148" w:id="141"/>
    <w:p>
      <w:pPr>
        <w:spacing w:after="0"/>
        <w:ind w:left="0"/>
        <w:jc w:val="both"/>
      </w:pPr>
      <w:r>
        <w:rPr>
          <w:rFonts w:ascii="Times New Roman"/>
          <w:b w:val="false"/>
          <w:i w:val="false"/>
          <w:color w:val="000000"/>
          <w:sz w:val="28"/>
        </w:rPr>
        <w:t>
      Согласно пункту 47 Методики возможность преодоления барьеров для входа на товарный рынок оценивается на основе сроков и величины затрат на их преодоление, которые оцениваются путем опроса фактических и потенциальных продавцов, отраслевых специалистов (экспертов). Барьеры для входа на товарный рынок считаются преодолимыми, если затраты на преодоление барьеров для входа на товарный рынок экономически оправдываются доходами (преимуществами), которые получит (предполагает получить) хозяйствующий субъект (субъект рынка), собирающийся войти на данный товарный рынок. Косвенным свидетельством, характеризующим преодолимость барьеров, является частота появления новых продавцов на товарном рынке.</w:t>
      </w:r>
    </w:p>
    <w:bookmarkEnd w:id="141"/>
    <w:bookmarkStart w:name="z149" w:id="142"/>
    <w:p>
      <w:pPr>
        <w:spacing w:after="0"/>
        <w:ind w:left="0"/>
        <w:jc w:val="both"/>
      </w:pPr>
      <w:r>
        <w:rPr>
          <w:rFonts w:ascii="Times New Roman"/>
          <w:b w:val="false"/>
          <w:i w:val="false"/>
          <w:color w:val="000000"/>
          <w:sz w:val="28"/>
        </w:rPr>
        <w:t xml:space="preserve">
      Согласно подпункту "б" пункта 44 Методики к административным ограничениям, вводимым органами государственной власти государств-членов, органами местного самоуправления и организациями, в том числе относятся: </w:t>
      </w:r>
    </w:p>
    <w:bookmarkEnd w:id="142"/>
    <w:bookmarkStart w:name="z150" w:id="143"/>
    <w:p>
      <w:pPr>
        <w:spacing w:after="0"/>
        <w:ind w:left="0"/>
        <w:jc w:val="both"/>
      </w:pPr>
      <w:r>
        <w:rPr>
          <w:rFonts w:ascii="Times New Roman"/>
          <w:b w:val="false"/>
          <w:i w:val="false"/>
          <w:color w:val="000000"/>
          <w:sz w:val="28"/>
        </w:rPr>
        <w:t xml:space="preserve">
      условия лицензирования отдельных видов деятельности; </w:t>
      </w:r>
    </w:p>
    <w:bookmarkEnd w:id="143"/>
    <w:bookmarkStart w:name="z151" w:id="144"/>
    <w:p>
      <w:pPr>
        <w:spacing w:after="0"/>
        <w:ind w:left="0"/>
        <w:jc w:val="both"/>
      </w:pPr>
      <w:r>
        <w:rPr>
          <w:rFonts w:ascii="Times New Roman"/>
          <w:b w:val="false"/>
          <w:i w:val="false"/>
          <w:color w:val="000000"/>
          <w:sz w:val="28"/>
        </w:rPr>
        <w:t xml:space="preserve">
      квотирование экспорта; </w:t>
      </w:r>
    </w:p>
    <w:bookmarkEnd w:id="144"/>
    <w:bookmarkStart w:name="z152" w:id="145"/>
    <w:p>
      <w:pPr>
        <w:spacing w:after="0"/>
        <w:ind w:left="0"/>
        <w:jc w:val="both"/>
      </w:pPr>
      <w:r>
        <w:rPr>
          <w:rFonts w:ascii="Times New Roman"/>
          <w:b w:val="false"/>
          <w:i w:val="false"/>
          <w:color w:val="000000"/>
          <w:sz w:val="28"/>
        </w:rPr>
        <w:t>
      условия конкурсного отбора поставщиков товара для государственных и муниципальных нужд;</w:t>
      </w:r>
    </w:p>
    <w:bookmarkEnd w:id="145"/>
    <w:bookmarkStart w:name="z153" w:id="146"/>
    <w:p>
      <w:pPr>
        <w:spacing w:after="0"/>
        <w:ind w:left="0"/>
        <w:jc w:val="both"/>
      </w:pPr>
      <w:r>
        <w:rPr>
          <w:rFonts w:ascii="Times New Roman"/>
          <w:b w:val="false"/>
          <w:i w:val="false"/>
          <w:color w:val="000000"/>
          <w:sz w:val="28"/>
        </w:rPr>
        <w:t>
      технические регламенты, стандарты;</w:t>
      </w:r>
    </w:p>
    <w:bookmarkEnd w:id="146"/>
    <w:bookmarkStart w:name="z154" w:id="147"/>
    <w:p>
      <w:pPr>
        <w:spacing w:after="0"/>
        <w:ind w:left="0"/>
        <w:jc w:val="both"/>
      </w:pPr>
      <w:r>
        <w:rPr>
          <w:rFonts w:ascii="Times New Roman"/>
          <w:b w:val="false"/>
          <w:i w:val="false"/>
          <w:color w:val="000000"/>
          <w:sz w:val="28"/>
        </w:rPr>
        <w:t>
      иные акты, предусматривающие требования к качеству и (или) безопасности товара.</w:t>
      </w:r>
    </w:p>
    <w:bookmarkEnd w:id="147"/>
    <w:bookmarkStart w:name="z155" w:id="148"/>
    <w:p>
      <w:pPr>
        <w:spacing w:after="0"/>
        <w:ind w:left="0"/>
        <w:jc w:val="both"/>
      </w:pPr>
      <w:r>
        <w:rPr>
          <w:rFonts w:ascii="Times New Roman"/>
          <w:b w:val="false"/>
          <w:i w:val="false"/>
          <w:color w:val="000000"/>
          <w:sz w:val="28"/>
        </w:rPr>
        <w:t xml:space="preserve">
      Учитывая ответы потенциальных продавцов и отраслевых экспертов, в том числе представителей ФСТЭК, исходя из фактического отсутствия новых продавцов взрывчатых веществ и средств инициирования за исследуемый период, можно констатировать наличие существенных административных ограничений, которые могут быть отнесены к трудно преодолимым барьерам входа на товарный рынок. </w:t>
      </w:r>
    </w:p>
    <w:bookmarkEnd w:id="148"/>
    <w:bookmarkStart w:name="z156" w:id="14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пункта 2 Протокола соглашением признается договоренность в письменной форме, содержащаяся в документе или нескольких документах, а также договоренность в устной форме.</w:t>
      </w:r>
    </w:p>
    <w:bookmarkEnd w:id="149"/>
    <w:bookmarkStart w:name="z157" w:id="15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5</w:t>
      </w:r>
      <w:r>
        <w:rPr>
          <w:rFonts w:ascii="Times New Roman"/>
          <w:b w:val="false"/>
          <w:i w:val="false"/>
          <w:color w:val="000000"/>
          <w:sz w:val="28"/>
        </w:rPr>
        <w:t xml:space="preserve">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15</w:t>
      </w:r>
      <w:r>
        <w:rPr>
          <w:rFonts w:ascii="Times New Roman"/>
          <w:b w:val="false"/>
          <w:i w:val="false"/>
          <w:color w:val="000000"/>
          <w:sz w:val="28"/>
        </w:rPr>
        <w:t xml:space="preserve"> пункта 2 Протокола к признакам ограничения конкуренции отнесены: </w:t>
      </w:r>
    </w:p>
    <w:bookmarkStart w:name="z159" w:id="151"/>
    <w:p>
      <w:pPr>
        <w:spacing w:after="0"/>
        <w:ind w:left="0"/>
        <w:jc w:val="both"/>
      </w:pPr>
      <w:r>
        <w:rPr>
          <w:rFonts w:ascii="Times New Roman"/>
          <w:b w:val="false"/>
          <w:i w:val="false"/>
          <w:color w:val="000000"/>
          <w:sz w:val="28"/>
        </w:rPr>
        <w:t xml:space="preserve">
      сокращение числа хозяйствующих субъектов (субъектов рынка), не входящих в одну группу лиц, на товарном рынке; </w:t>
      </w:r>
    </w:p>
    <w:bookmarkEnd w:id="151"/>
    <w:bookmarkStart w:name="z160" w:id="152"/>
    <w:p>
      <w:pPr>
        <w:spacing w:after="0"/>
        <w:ind w:left="0"/>
        <w:jc w:val="both"/>
      </w:pPr>
      <w:r>
        <w:rPr>
          <w:rFonts w:ascii="Times New Roman"/>
          <w:b w:val="false"/>
          <w:i w:val="false"/>
          <w:color w:val="000000"/>
          <w:sz w:val="28"/>
        </w:rPr>
        <w:t>
      рост или снижение цены товара, не связанные с соответствующими изменениями иных общих условий обращения товара на товарном рынке;</w:t>
      </w:r>
    </w:p>
    <w:bookmarkEnd w:id="152"/>
    <w:bookmarkStart w:name="z161" w:id="153"/>
    <w:p>
      <w:pPr>
        <w:spacing w:after="0"/>
        <w:ind w:left="0"/>
        <w:jc w:val="both"/>
      </w:pPr>
      <w:r>
        <w:rPr>
          <w:rFonts w:ascii="Times New Roman"/>
          <w:b w:val="false"/>
          <w:i w:val="false"/>
          <w:color w:val="000000"/>
          <w:sz w:val="28"/>
        </w:rPr>
        <w:t xml:space="preserve">
      отказ хозяйствующих субъектов (субъектов рынка), не входящих в одну группу лиц, от самостоятельных действий на товарном рынке; </w:t>
      </w:r>
    </w:p>
    <w:bookmarkEnd w:id="153"/>
    <w:bookmarkStart w:name="z162" w:id="154"/>
    <w:p>
      <w:pPr>
        <w:spacing w:after="0"/>
        <w:ind w:left="0"/>
        <w:jc w:val="both"/>
      </w:pPr>
      <w:r>
        <w:rPr>
          <w:rFonts w:ascii="Times New Roman"/>
          <w:b w:val="false"/>
          <w:i w:val="false"/>
          <w:color w:val="000000"/>
          <w:sz w:val="28"/>
        </w:rPr>
        <w:t xml:space="preserve">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w:t>
      </w:r>
    </w:p>
    <w:bookmarkEnd w:id="154"/>
    <w:bookmarkStart w:name="z163" w:id="155"/>
    <w:p>
      <w:pPr>
        <w:spacing w:after="0"/>
        <w:ind w:left="0"/>
        <w:jc w:val="both"/>
      </w:pPr>
      <w:r>
        <w:rPr>
          <w:rFonts w:ascii="Times New Roman"/>
          <w:b w:val="false"/>
          <w:i w:val="false"/>
          <w:color w:val="000000"/>
          <w:sz w:val="28"/>
        </w:rPr>
        <w:t>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155"/>
    <w:bookmarkStart w:name="z164" w:id="156"/>
    <w:p>
      <w:pPr>
        <w:spacing w:after="0"/>
        <w:ind w:left="0"/>
        <w:jc w:val="both"/>
      </w:pPr>
      <w:r>
        <w:rPr>
          <w:rFonts w:ascii="Times New Roman"/>
          <w:b w:val="false"/>
          <w:i w:val="false"/>
          <w:color w:val="000000"/>
          <w:sz w:val="28"/>
        </w:rPr>
        <w:t>
      При разрешении вопроса, касающегося соблюдения запрета на антиконкурентное соглашение, юридически значимым является установление негативного влияния, которое оказывает или может оказать поведение хозяйствующего субъекта (субъекта рынка) на других участников рынка (хозяйствующих субъектов (субъектов рынка), потребителей), а также соответствие поведения указанного лица тому поведению, которое в подобной ситуации ожидалось бы от любого иного хозяйствующего субъекта (субъекта рынка), преследующего свой имущественный интерес, но не выходящего при этом за пределы осуществления гражданских прав.</w:t>
      </w:r>
    </w:p>
    <w:bookmarkEnd w:id="156"/>
    <w:bookmarkStart w:name="z165" w:id="157"/>
    <w:p>
      <w:pPr>
        <w:spacing w:after="0"/>
        <w:ind w:left="0"/>
        <w:jc w:val="both"/>
      </w:pPr>
      <w:r>
        <w:rPr>
          <w:rFonts w:ascii="Times New Roman"/>
          <w:b w:val="false"/>
          <w:i w:val="false"/>
          <w:color w:val="000000"/>
          <w:sz w:val="28"/>
        </w:rPr>
        <w:t xml:space="preserve">
      Учитывая, что в исследуемый период не выявлено ограничения конкуренции, комиссия по рассмотрению дела полагает, что факт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 отсутствует.</w:t>
      </w:r>
    </w:p>
    <w:bookmarkEnd w:id="157"/>
    <w:bookmarkStart w:name="z166" w:id="158"/>
    <w:p>
      <w:pPr>
        <w:spacing w:after="0"/>
        <w:ind w:left="0"/>
        <w:jc w:val="both"/>
      </w:pPr>
      <w:r>
        <w:rPr>
          <w:rFonts w:ascii="Times New Roman"/>
          <w:b w:val="false"/>
          <w:i w:val="false"/>
          <w:color w:val="000000"/>
          <w:sz w:val="28"/>
        </w:rPr>
        <w:t xml:space="preserve">
      Имеющийся в материалах дела отказ от исполнения договорных обязательств, включая отказ от заключения договоров, который содержался в материалах дела, оцененных в совокупности с другими материалами дела, не подтверждает наличие соглашения, ограничивающего конкуренцию на трансграничных рынках. </w:t>
      </w:r>
    </w:p>
    <w:bookmarkEnd w:id="158"/>
    <w:bookmarkStart w:name="z167" w:id="159"/>
    <w:p>
      <w:pPr>
        <w:spacing w:after="0"/>
        <w:ind w:left="0"/>
        <w:jc w:val="both"/>
      </w:pPr>
      <w:r>
        <w:rPr>
          <w:rFonts w:ascii="Times New Roman"/>
          <w:b w:val="false"/>
          <w:i w:val="false"/>
          <w:color w:val="000000"/>
          <w:sz w:val="28"/>
        </w:rPr>
        <w:t>
      Указанный отказ является предметом гражданского правового спора о надлежащем или ненадлежащем исполнении сторонами договорных отношений и (или) взятых на себя обязательств в рамках преддоговорной работы, а также учитывает ранее имеющийся опыт работы с контрагентом и оценки такого взаимодействия через его добросовестность, что в полной мере реализуется в рамках свободы договора и не может вменяться как заключение иного соглашения.</w:t>
      </w:r>
    </w:p>
    <w:bookmarkEnd w:id="159"/>
    <w:bookmarkStart w:name="z168" w:id="160"/>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 действиях ответчиков, запрещенных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отсутствует нарушение общих правил конкуренции на трансграничных рынках.</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