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e918" w14:textId="545e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Программу статистических работ Евразийской экономической комиссии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сентября 2022 года № 166.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 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2022 год, утвержденную распоряжением Коллегии Евразийской экономической комиссии от 21 декабря 2021 г. № 208, изменение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г. № 166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Программу статистических работ 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 на 2022 год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17, 21, 22, 29, 30, 42 и 43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"17. Об итогах внешней и взаимной торговли товарами государств – членов Евразийского экономического союза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марта";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"21. О взаимной 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марта";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"29. Взаимная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Внешняя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3,7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марта";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"42. Таблицы 3.1, 3.2, 3.5 – 3.7 и 3.10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Вопросника № 3 Статкомитета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Таблицы 3.3, 3.4, 3.8 и 3.9 Вопросника № 3 Статкомитета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