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6431" w14:textId="0d66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по внедрению механизма прослеживаемости товаров, ввезенных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21 января 2022 года № 2.</w:t>
      </w:r>
    </w:p>
    <w:p>
      <w:pPr>
        <w:spacing w:after="0"/>
        <w:ind w:left="0"/>
        <w:jc w:val="both"/>
      </w:pPr>
      <w:bookmarkStart w:name="z4" w:id="0"/>
      <w:r>
        <w:rPr>
          <w:rFonts w:ascii="Times New Roman"/>
          <w:b w:val="false"/>
          <w:i w:val="false"/>
          <w:color w:val="000000"/>
          <w:sz w:val="28"/>
        </w:rPr>
        <w:t xml:space="preserve">
      В целях реализации статей 9 и 14 Соглашения о механизме прослеживаемости товаров, ввезенных на таможенную территорию Евразийского экономического союза, от 29 мая 2019 года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Начать реализацию пилотного проекта по внедрению механизма прослеживаемости товаров, ввезенных на таможенную территорию Евразийского экономического союза (далее – пилотный проект), 1 июля 2022 г. и завершить 30 июня 2024 г.</w:t>
      </w:r>
    </w:p>
    <w:bookmarkEnd w:id="1"/>
    <w:bookmarkStart w:name="z6" w:id="2"/>
    <w:p>
      <w:pPr>
        <w:spacing w:after="0"/>
        <w:ind w:left="0"/>
        <w:jc w:val="both"/>
      </w:pPr>
      <w:r>
        <w:rPr>
          <w:rFonts w:ascii="Times New Roman"/>
          <w:b w:val="false"/>
          <w:i w:val="false"/>
          <w:color w:val="000000"/>
          <w:sz w:val="28"/>
        </w:rPr>
        <w:t xml:space="preserve">
      Определить, что реализация пилотного проекта осуществляется в порядке согласно </w:t>
      </w:r>
      <w:r>
        <w:rPr>
          <w:rFonts w:ascii="Times New Roman"/>
          <w:b w:val="false"/>
          <w:i w:val="false"/>
          <w:color w:val="000000"/>
          <w:sz w:val="28"/>
        </w:rPr>
        <w:t>приложению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тзменениями, внесенными решениями Совета Евразийской экономической комиссии от 21.04.2023 </w:t>
      </w:r>
      <w:r>
        <w:rPr>
          <w:rFonts w:ascii="Times New Roman"/>
          <w:b w:val="false"/>
          <w:i w:val="false"/>
          <w:color w:val="00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2.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ввезенных на таможенную территорию Евразийского экономического союза, в отношении которых осуществляется прослеживаемость в рамках пилотного проекта по внедрению механизма прослеживаемости. </w:t>
      </w:r>
    </w:p>
    <w:bookmarkEnd w:id="3"/>
    <w:bookmarkStart w:name="z8" w:id="4"/>
    <w:p>
      <w:pPr>
        <w:spacing w:after="0"/>
        <w:ind w:left="0"/>
        <w:jc w:val="both"/>
      </w:pPr>
      <w:r>
        <w:rPr>
          <w:rFonts w:ascii="Times New Roman"/>
          <w:b w:val="false"/>
          <w:i w:val="false"/>
          <w:color w:val="000000"/>
          <w:sz w:val="28"/>
        </w:rPr>
        <w:t>
      3. Евразийской экономической комиссии совместно с государствами – членами Евразийского экономического союза:</w:t>
      </w:r>
    </w:p>
    <w:bookmarkEnd w:id="4"/>
    <w:bookmarkStart w:name="z9" w:id="5"/>
    <w:p>
      <w:pPr>
        <w:spacing w:after="0"/>
        <w:ind w:left="0"/>
        <w:jc w:val="both"/>
      </w:pPr>
      <w:r>
        <w:rPr>
          <w:rFonts w:ascii="Times New Roman"/>
          <w:b w:val="false"/>
          <w:i w:val="false"/>
          <w:color w:val="000000"/>
          <w:sz w:val="28"/>
        </w:rPr>
        <w:t>
      обеспечить реализацию с 1 июля 2022 г. по 31 декабря 2023 г. пилотного проекта на существующих каналах передачи данных в интегрированной информационной системе Евразийского экономического союза;</w:t>
      </w:r>
    </w:p>
    <w:bookmarkEnd w:id="5"/>
    <w:bookmarkStart w:name="z10" w:id="6"/>
    <w:p>
      <w:pPr>
        <w:spacing w:after="0"/>
        <w:ind w:left="0"/>
        <w:jc w:val="both"/>
      </w:pPr>
      <w:r>
        <w:rPr>
          <w:rFonts w:ascii="Times New Roman"/>
          <w:b w:val="false"/>
          <w:i w:val="false"/>
          <w:color w:val="000000"/>
          <w:sz w:val="28"/>
        </w:rPr>
        <w:t>
      обеспечить реализацию пилотного проекта с 1 января по 30 июня 2024 г. и функционирование на постоянной основе (с даты, определенной Евразийским межправительственным советом после завершения пилотного проекта) механизма прослеживаемости товаров, ввезенных на таможенную территорию Евразийского экономического союза, с использованием защищенной сети передачи данных в интегрированной информационной системе Евразийского экономического союза в соответствии с Решением Коллегии Евразийской экономической комиссии от 2 июня 2016 г. № 50 (ДСП) "О криптографических стандартах, используемых для защиты каналов передачи данных в интегрированной информационной системе Евразийского экономического союза";</w:t>
      </w:r>
    </w:p>
    <w:bookmarkEnd w:id="6"/>
    <w:bookmarkStart w:name="z11" w:id="7"/>
    <w:p>
      <w:pPr>
        <w:spacing w:after="0"/>
        <w:ind w:left="0"/>
        <w:jc w:val="both"/>
      </w:pPr>
      <w:r>
        <w:rPr>
          <w:rFonts w:ascii="Times New Roman"/>
          <w:b w:val="false"/>
          <w:i w:val="false"/>
          <w:color w:val="000000"/>
          <w:sz w:val="28"/>
        </w:rPr>
        <w:t>
      в течение 3 месяцев после завершения пилотного проекта подготовить отчет о результатах его реализации, включая оценку эффективности, а также в случае необходимости предложения о внесении изменений в акты органов Евразийского экономического союза по вопросам реализации Соглашения о механизме прослеживаемости товаров, ввезенных на таможенную территорию Евразийского экономического союза, от 29 мая 2019 года.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Совета Евразийской экономической комиссии от 21.04.2023 </w:t>
      </w:r>
      <w:r>
        <w:rPr>
          <w:rFonts w:ascii="Times New Roman"/>
          <w:b w:val="false"/>
          <w:i w:val="false"/>
          <w:color w:val="00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4. Коллегии Евразийской экономической комиссии доложить о результатах реализации пилотного проекта Совету Евразийской экономической комиссии с учетом отчета,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настоящего Решения.</w:t>
      </w:r>
    </w:p>
    <w:bookmarkEnd w:id="8"/>
    <w:bookmarkStart w:name="z13" w:id="9"/>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9"/>
    <w:bookmarkStart w:name="z14" w:id="10"/>
    <w:p>
      <w:pPr>
        <w:spacing w:after="0"/>
        <w:ind w:left="0"/>
        <w:jc w:val="left"/>
      </w:pPr>
      <w:r>
        <w:rPr>
          <w:rFonts w:ascii="Times New Roman"/>
          <w:b/>
          <w:i w:val="false"/>
          <w:color w:val="000000"/>
        </w:rPr>
        <w:t xml:space="preserve"> Члены Совета Евразийской экономической комиссии: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Султанов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января 2022 г. № 2</w:t>
            </w:r>
          </w:p>
        </w:tc>
      </w:tr>
    </w:tbl>
    <w:bookmarkStart w:name="z16" w:id="11"/>
    <w:p>
      <w:pPr>
        <w:spacing w:after="0"/>
        <w:ind w:left="0"/>
        <w:jc w:val="left"/>
      </w:pPr>
      <w:r>
        <w:rPr>
          <w:rFonts w:ascii="Times New Roman"/>
          <w:b/>
          <w:i w:val="false"/>
          <w:color w:val="000000"/>
        </w:rPr>
        <w:t xml:space="preserve"> ПОРЯДОК</w:t>
      </w:r>
      <w:r>
        <w:br/>
      </w:r>
      <w:r>
        <w:rPr>
          <w:rFonts w:ascii="Times New Roman"/>
          <w:b/>
          <w:i w:val="false"/>
          <w:color w:val="000000"/>
        </w:rPr>
        <w:t>реализации пилотного проекта по внедрению механизма прослеживаемости товаров, ввезенных на таможенную территорию Евразийского экономического союза</w:t>
      </w:r>
    </w:p>
    <w:bookmarkEnd w:id="11"/>
    <w:bookmarkStart w:name="z17" w:id="12"/>
    <w:p>
      <w:pPr>
        <w:spacing w:after="0"/>
        <w:ind w:left="0"/>
        <w:jc w:val="both"/>
      </w:pPr>
      <w:r>
        <w:rPr>
          <w:rFonts w:ascii="Times New Roman"/>
          <w:b w:val="false"/>
          <w:i w:val="false"/>
          <w:color w:val="000000"/>
          <w:sz w:val="28"/>
        </w:rPr>
        <w:t>
      1. Прослеживаемость в рамках пилотного проекта по внедрению механизма прослеживаемости (далее – пилотный проект) осуществляется в отношении товаров, включенных в перечень товаров, утвержденный Решением Совета Евразийской экономической комиссии от 21 января 2022 г. № 2.</w:t>
      </w:r>
    </w:p>
    <w:bookmarkEnd w:id="12"/>
    <w:bookmarkStart w:name="z18" w:id="13"/>
    <w:p>
      <w:pPr>
        <w:spacing w:after="0"/>
        <w:ind w:left="0"/>
        <w:jc w:val="both"/>
      </w:pPr>
      <w:r>
        <w:rPr>
          <w:rFonts w:ascii="Times New Roman"/>
          <w:b w:val="false"/>
          <w:i w:val="false"/>
          <w:color w:val="000000"/>
          <w:sz w:val="28"/>
        </w:rPr>
        <w:t>
      2. Сведения о товарах, подлежащих прослеживаемости в рамках пилотного проекта, фактически находящихся на таможенной территории Евразийского экономического союза на дату начала реализации пилотного проекта, и операциях, связанных с оборотом таких товаров, подлежат включению в национальные системы прослеживаемости государств – членов Евразийского экономического союза (далее соответственно – национальные системы прослеживаемости, государства-члены) в течение месяца с даты начала реализации пилотного проекта.</w:t>
      </w:r>
    </w:p>
    <w:bookmarkEnd w:id="13"/>
    <w:bookmarkStart w:name="z19" w:id="14"/>
    <w:p>
      <w:pPr>
        <w:spacing w:after="0"/>
        <w:ind w:left="0"/>
        <w:jc w:val="both"/>
      </w:pPr>
      <w:r>
        <w:rPr>
          <w:rFonts w:ascii="Times New Roman"/>
          <w:b w:val="false"/>
          <w:i w:val="false"/>
          <w:color w:val="000000"/>
          <w:sz w:val="28"/>
        </w:rPr>
        <w:t xml:space="preserve">
      Указанные сведения представляются лицами государств-членов, осуществляющими оборот товаров, подлежащих прослеживаемости в рамках пилотного проекта, в органы государственной власти либо организации государств-членов, уполномоченные обеспечивать сбор, учет, хранение и обработку сведений, включаемых в национальную систему прослеживаемости, и реализацию механизма прослеживаемости, в электронном виде до осуществления операций, связанных с оборотом таких товаров, но не позднее срока, указанного в абзаце первом настоящего пункта. </w:t>
      </w:r>
    </w:p>
    <w:bookmarkEnd w:id="14"/>
    <w:bookmarkStart w:name="z20" w:id="15"/>
    <w:p>
      <w:pPr>
        <w:spacing w:after="0"/>
        <w:ind w:left="0"/>
        <w:jc w:val="both"/>
      </w:pPr>
      <w:r>
        <w:rPr>
          <w:rFonts w:ascii="Times New Roman"/>
          <w:b w:val="false"/>
          <w:i w:val="false"/>
          <w:color w:val="000000"/>
          <w:sz w:val="28"/>
        </w:rPr>
        <w:t>
      Представление сведений о товарах, указанных в абзаце первом настоящего пункта, не требуется, если сведения о них уже содержатся в национальной системе прослеживаемости.</w:t>
      </w:r>
    </w:p>
    <w:bookmarkEnd w:id="15"/>
    <w:bookmarkStart w:name="z21" w:id="16"/>
    <w:p>
      <w:pPr>
        <w:spacing w:after="0"/>
        <w:ind w:left="0"/>
        <w:jc w:val="both"/>
      </w:pPr>
      <w:r>
        <w:rPr>
          <w:rFonts w:ascii="Times New Roman"/>
          <w:b w:val="false"/>
          <w:i w:val="false"/>
          <w:color w:val="000000"/>
          <w:sz w:val="28"/>
        </w:rPr>
        <w:t>
      3. Целью реализации пилотного проекта является апробация функционирования национальных систем прослеживаемости и интегрированной информационной системы Евразийского экономического союза, а также выработка предложений по дальнейшему развитию механизма прослеживаемости товаров.</w:t>
      </w:r>
    </w:p>
    <w:bookmarkEnd w:id="16"/>
    <w:bookmarkStart w:name="z22" w:id="17"/>
    <w:p>
      <w:pPr>
        <w:spacing w:after="0"/>
        <w:ind w:left="0"/>
        <w:jc w:val="both"/>
      </w:pPr>
      <w:r>
        <w:rPr>
          <w:rFonts w:ascii="Times New Roman"/>
          <w:b w:val="false"/>
          <w:i w:val="false"/>
          <w:color w:val="000000"/>
          <w:sz w:val="28"/>
        </w:rPr>
        <w:t>
      4. Участниками пилотного проекта являются:</w:t>
      </w:r>
    </w:p>
    <w:bookmarkEnd w:id="17"/>
    <w:bookmarkStart w:name="z23" w:id="18"/>
    <w:p>
      <w:pPr>
        <w:spacing w:after="0"/>
        <w:ind w:left="0"/>
        <w:jc w:val="both"/>
      </w:pPr>
      <w:r>
        <w:rPr>
          <w:rFonts w:ascii="Times New Roman"/>
          <w:b w:val="false"/>
          <w:i w:val="false"/>
          <w:color w:val="000000"/>
          <w:sz w:val="28"/>
        </w:rPr>
        <w:t xml:space="preserve">
      а) Евразийская экономическая комиссия (далее – Комиссия); </w:t>
      </w:r>
    </w:p>
    <w:bookmarkEnd w:id="18"/>
    <w:bookmarkStart w:name="z24" w:id="19"/>
    <w:p>
      <w:pPr>
        <w:spacing w:after="0"/>
        <w:ind w:left="0"/>
        <w:jc w:val="both"/>
      </w:pPr>
      <w:r>
        <w:rPr>
          <w:rFonts w:ascii="Times New Roman"/>
          <w:b w:val="false"/>
          <w:i w:val="false"/>
          <w:color w:val="000000"/>
          <w:sz w:val="28"/>
        </w:rPr>
        <w:t>
      б) органы государственной власти государств-членов, уполномоченные обеспечивать координацию реализации механизма прослеживаемости;</w:t>
      </w:r>
    </w:p>
    <w:bookmarkEnd w:id="19"/>
    <w:bookmarkStart w:name="z25" w:id="20"/>
    <w:p>
      <w:pPr>
        <w:spacing w:after="0"/>
        <w:ind w:left="0"/>
        <w:jc w:val="both"/>
      </w:pPr>
      <w:r>
        <w:rPr>
          <w:rFonts w:ascii="Times New Roman"/>
          <w:b w:val="false"/>
          <w:i w:val="false"/>
          <w:color w:val="000000"/>
          <w:sz w:val="28"/>
        </w:rPr>
        <w:t>
      в) органы государственной власти либо организации государств-членов, уполномоченные обеспечивать сбор, учет, хранение и обработку сведений, включаемых в национальную систему прослеживаемости, и реализацию механизма прослеживаемости;</w:t>
      </w:r>
    </w:p>
    <w:bookmarkEnd w:id="20"/>
    <w:bookmarkStart w:name="z26" w:id="21"/>
    <w:p>
      <w:pPr>
        <w:spacing w:after="0"/>
        <w:ind w:left="0"/>
        <w:jc w:val="both"/>
      </w:pPr>
      <w:r>
        <w:rPr>
          <w:rFonts w:ascii="Times New Roman"/>
          <w:b w:val="false"/>
          <w:i w:val="false"/>
          <w:color w:val="000000"/>
          <w:sz w:val="28"/>
        </w:rPr>
        <w:t>
      г) органы государственной власти государств-членов, получившие в соответствии с пунктом 1 статьи 12 Соглашения о механизме прослеживаемости товаров, ввезенных на таможенную территорию Евразийского экономического союза, от 29 мая 2019 года (далее – Соглашение) доступ к сведениям, включенным в национальные системы прослеживаемости;</w:t>
      </w:r>
    </w:p>
    <w:bookmarkEnd w:id="21"/>
    <w:bookmarkStart w:name="z27" w:id="22"/>
    <w:p>
      <w:pPr>
        <w:spacing w:after="0"/>
        <w:ind w:left="0"/>
        <w:jc w:val="both"/>
      </w:pPr>
      <w:r>
        <w:rPr>
          <w:rFonts w:ascii="Times New Roman"/>
          <w:b w:val="false"/>
          <w:i w:val="false"/>
          <w:color w:val="000000"/>
          <w:sz w:val="28"/>
        </w:rPr>
        <w:t>
      д) лица государств-членов, осуществляющие оборот товаров, подлежащих прослеживаемости в рамках пилотного проекта.</w:t>
      </w:r>
    </w:p>
    <w:bookmarkEnd w:id="22"/>
    <w:bookmarkStart w:name="z28" w:id="23"/>
    <w:p>
      <w:pPr>
        <w:spacing w:after="0"/>
        <w:ind w:left="0"/>
        <w:jc w:val="both"/>
      </w:pPr>
      <w:r>
        <w:rPr>
          <w:rFonts w:ascii="Times New Roman"/>
          <w:b w:val="false"/>
          <w:i w:val="false"/>
          <w:color w:val="000000"/>
          <w:sz w:val="28"/>
        </w:rPr>
        <w:t>
      5. Направление и исполнение запросов о предоставлении содержащихся в национальных системах прослеживаемости сведений об операциях, связанных с оборотом товаров, подлежащих прослеживаемости в рамках пилотного проекта, и предшествующих перемещению таких товаров с территории одного государства-члена на территорию другого государства-члена (далее – запрос), осуществляются на русском языке с использованием интегрированной информационной системы Евразийского экономического союза.</w:t>
      </w:r>
    </w:p>
    <w:bookmarkEnd w:id="23"/>
    <w:bookmarkStart w:name="z29" w:id="24"/>
    <w:p>
      <w:pPr>
        <w:spacing w:after="0"/>
        <w:ind w:left="0"/>
        <w:jc w:val="both"/>
      </w:pPr>
      <w:r>
        <w:rPr>
          <w:rFonts w:ascii="Times New Roman"/>
          <w:b w:val="false"/>
          <w:i w:val="false"/>
          <w:color w:val="000000"/>
          <w:sz w:val="28"/>
        </w:rPr>
        <w:t>
      6. Запрос должен формироваться на основании сведений, содержащихся в сопроводительном документе, и содержать:</w:t>
      </w:r>
    </w:p>
    <w:bookmarkEnd w:id="24"/>
    <w:bookmarkStart w:name="z30" w:id="25"/>
    <w:p>
      <w:pPr>
        <w:spacing w:after="0"/>
        <w:ind w:left="0"/>
        <w:jc w:val="both"/>
      </w:pPr>
      <w:r>
        <w:rPr>
          <w:rFonts w:ascii="Times New Roman"/>
          <w:b w:val="false"/>
          <w:i w:val="false"/>
          <w:color w:val="000000"/>
          <w:sz w:val="28"/>
        </w:rPr>
        <w:t>
      а) ссылку на статью 9 Соглашения;</w:t>
      </w:r>
    </w:p>
    <w:bookmarkEnd w:id="25"/>
    <w:bookmarkStart w:name="z31" w:id="26"/>
    <w:p>
      <w:pPr>
        <w:spacing w:after="0"/>
        <w:ind w:left="0"/>
        <w:jc w:val="both"/>
      </w:pPr>
      <w:r>
        <w:rPr>
          <w:rFonts w:ascii="Times New Roman"/>
          <w:b w:val="false"/>
          <w:i w:val="false"/>
          <w:color w:val="000000"/>
          <w:sz w:val="28"/>
        </w:rPr>
        <w:t>
      б) наименование органа государственной власти либо организации государства-члена, определенных в соответствии с пунктом 1 статьи 13 Соглашения, направляющих запрос;</w:t>
      </w:r>
    </w:p>
    <w:bookmarkEnd w:id="26"/>
    <w:bookmarkStart w:name="z32" w:id="27"/>
    <w:p>
      <w:pPr>
        <w:spacing w:after="0"/>
        <w:ind w:left="0"/>
        <w:jc w:val="both"/>
      </w:pPr>
      <w:r>
        <w:rPr>
          <w:rFonts w:ascii="Times New Roman"/>
          <w:b w:val="false"/>
          <w:i w:val="false"/>
          <w:color w:val="000000"/>
          <w:sz w:val="28"/>
        </w:rPr>
        <w:t>
      в) наименование органа государственной власти либо организации государства-члена, определенных в соответствии с пунктом 1 статьи 13 Соглашения, в которые направляется запрос;</w:t>
      </w:r>
    </w:p>
    <w:bookmarkEnd w:id="27"/>
    <w:bookmarkStart w:name="z33" w:id="28"/>
    <w:p>
      <w:pPr>
        <w:spacing w:after="0"/>
        <w:ind w:left="0"/>
        <w:jc w:val="both"/>
      </w:pPr>
      <w:r>
        <w:rPr>
          <w:rFonts w:ascii="Times New Roman"/>
          <w:b w:val="false"/>
          <w:i w:val="false"/>
          <w:color w:val="000000"/>
          <w:sz w:val="28"/>
        </w:rPr>
        <w:t>
      г) идентификационный код (номер) лица, которому передано право владеть, пользоваться и распоряжаться товарами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или бизнес-идентификационный номер, для Кыргызской Республики и Российской Федерации – идентификационный номер налогоплательщика);</w:t>
      </w:r>
    </w:p>
    <w:bookmarkEnd w:id="28"/>
    <w:bookmarkStart w:name="z34" w:id="29"/>
    <w:p>
      <w:pPr>
        <w:spacing w:after="0"/>
        <w:ind w:left="0"/>
        <w:jc w:val="both"/>
      </w:pPr>
      <w:r>
        <w:rPr>
          <w:rFonts w:ascii="Times New Roman"/>
          <w:b w:val="false"/>
          <w:i w:val="false"/>
          <w:color w:val="000000"/>
          <w:sz w:val="28"/>
        </w:rPr>
        <w:t>
      д) регистрационный номер и дату сопроводительного документа или уникальный идентификатор, а также порядковый номер товара, подлежащего прослеживаемости в рамках пилотного проекта, в соответствии с сопроводительным документом;</w:t>
      </w:r>
    </w:p>
    <w:bookmarkEnd w:id="29"/>
    <w:bookmarkStart w:name="z35" w:id="30"/>
    <w:p>
      <w:pPr>
        <w:spacing w:after="0"/>
        <w:ind w:left="0"/>
        <w:jc w:val="both"/>
      </w:pPr>
      <w:r>
        <w:rPr>
          <w:rFonts w:ascii="Times New Roman"/>
          <w:b w:val="false"/>
          <w:i w:val="false"/>
          <w:color w:val="000000"/>
          <w:sz w:val="28"/>
        </w:rPr>
        <w:t>
      е) наименование, номер и дату документа, на основании которого сведения о товарах включены в национальную систему прослеживаемости, а также порядковый номер товара, подлежащего прослеживаемости в рамках пилотного проекта, в соответствии с указанным документом (при наличии сведений о таком номере).</w:t>
      </w:r>
    </w:p>
    <w:bookmarkEnd w:id="30"/>
    <w:bookmarkStart w:name="z36" w:id="31"/>
    <w:p>
      <w:pPr>
        <w:spacing w:after="0"/>
        <w:ind w:left="0"/>
        <w:jc w:val="both"/>
      </w:pPr>
      <w:r>
        <w:rPr>
          <w:rFonts w:ascii="Times New Roman"/>
          <w:b w:val="false"/>
          <w:i w:val="false"/>
          <w:color w:val="000000"/>
          <w:sz w:val="28"/>
        </w:rPr>
        <w:t>
      7. Срок исполнения запроса не может превышать 15 календарных дней с даты его получения запрашиваемым органом.</w:t>
      </w:r>
    </w:p>
    <w:bookmarkEnd w:id="31"/>
    <w:bookmarkStart w:name="z37" w:id="32"/>
    <w:p>
      <w:pPr>
        <w:spacing w:after="0"/>
        <w:ind w:left="0"/>
        <w:jc w:val="both"/>
      </w:pPr>
      <w:r>
        <w:rPr>
          <w:rFonts w:ascii="Times New Roman"/>
          <w:b w:val="false"/>
          <w:i w:val="false"/>
          <w:color w:val="000000"/>
          <w:sz w:val="28"/>
        </w:rPr>
        <w:t>
      8. Основанием для отказа в исполнении запроса является несоответствие запроса требованиям, указанным в пункте 6 настоящего Порядка.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января 2022 г. № 2</w:t>
            </w:r>
          </w:p>
        </w:tc>
      </w:tr>
    </w:tbl>
    <w:bookmarkStart w:name="z39" w:id="33"/>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ввезенных на таможенную территорию Евразийского экономического союза, в отношении которых осуществляется прослеживаемость в рамках пилотного проекта по внедрению механизма прослеживаемости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Количественная единица измерения, используемая в целях осуществления прослеживаемости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8418 10 200 1, 8418 10 800 1, 8418 21 100 0, 8418 21 510 0, 8418 21 590 0, 8418 21 910 0, 8418 21 990 0, 8418 30 200 1, 8418 30 800 1, 8418 40 200 1, 8418 40 800 1</w:t>
            </w:r>
          </w:p>
          <w:bookmarkEnd w:id="3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и 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