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651" w14:textId="7191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актуальных направлениях научно-исследовательских работ в области стандартизации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21 января 2022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4.4.2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 г. № 4, в целях обеспечения проведения Евразийской экономической комиссией (далее – Комиссия) и государствами – членами Евразийского экономического союза (далее – государства-члены) научно-исследовательских работ в области стандартизации и метрологии в 2022 – 2025 годах: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 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актуальных направлений научно-исследовательских работ в области стандартизации и метрологии (далее – перечень актуальных направлений).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 Комиссии совместно с правительствами государств-членов обеспечить в соответствии с перечнем актуальных направлений подготовку предложений по проведению научно-исследовательских работ в области стандартизации и метрологии для включения в ежегодные планы научно-исследовательских работ Комиссии в пределах общих расходов на финансирование исследовательской деятельности Комиссии, предусматриваемых в бюджете Евразийского экономического союза на соответствующий финансовый год.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 Просить правительства государств-членов учитывать перечень актуальных направлений при планировании национальных исследований, проводимых и планируемых к проведению в рамках научно-исследовательских работ.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 Султанов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г. № 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актуальных направлений научно-исследовательских работ в области стандартизации и метрологии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Разработка документов,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 Евразийского экономического союза, в случае отсутствия аналогов таких документов.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научно-технического уровня требований к продукции, установленных в технических регламентах Евразийского экономического союза и стандартах, включенных в перечни стандартов, обеспечивающих соблюдение, применение и исполнение требований технических регламентов Евразийского экономического союза и осуществление оценки соответствия объектов технического регулирования, в целях выработки научно обоснованных предложений для их учета при осуществлении актуализации технических регламентов Евразийского экономического союза и соответствующих стандартов.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Развитие межгосударственной, национальной и негосударственной стандартизации в рамках Евразийского экономического союза для целей развития интеграции, сближения уровней экономического развития государств – членов Евразийского экономического союза, расширения областей экономического сотрудничества и развития интеграционного потенциала Евразийского экономического союза.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Совершенствование базы межгосударственных и национальных стандартов для целей устойчивого развития, сохранения и рационального использования природных ресурсов, развития циркулярной экономики (экономики замкнутого цикла), "зеленых" технологий, технологий с низким уровнем выбросов парниковых газов.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Совершенствование метрологического обеспечения единых требований безопасности продукции, выпускаемой в обращение в государствах – членах Евразийского экономического союза.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Развитие метрологического обеспечения общих рынков продукции Евразийского экономического союза.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Разработка новых средств измерений и стандартных образцов, а также научно-технических основ создания новых поколений средств измерений.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