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5587" w14:textId="0295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авиационных двигателей, запасных частей и оборудования, необходимых для ремонта и (или) технического обслуживания гражданских грузовых самолетов и (или) авиационных двигателей к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апреля 2022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7.1.15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"О едином таможенно-тарифном регулировании Евразийского экономического союза" после слов "гражданских пассажирских" дополнить словами "и (или) гражданских грузовых".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после слов "гражданских пассажирских" дополнить словами "и (или) гражданских грузовых".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10 календарных дней с даты его официального опубликования.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Б. Султанов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Кожошев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