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dd6" w14:textId="3bee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машин свекловичных ботворезных и машин свеклоуборочных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2022 года № 100.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машин свекловичных ботворезных и машин свеклоуборочных, классифицируемых кодом 8433 53 300 0 ТН ВЭД ЕАЭС, в размере 0 процентов от таможенной стоимости с даты вступления в силу настоящего Решения по 30 июня 2024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8433 53 300 0 ТН ВЭД ЕАЭС в графе четвертой дополнить ссылкой на примечание "68С)";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68С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"68С) 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21 июня 2022 г. № 100 по 30.06.2024 включительно.".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следующие изменения: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8433 53 300 0 ТН ВЭД ЕАЭС в графе третьей дополнить знаком сноски "19";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сноской 19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Ставка ввозной таможенной пошлины применяется с 1 июля 2024 г.".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 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