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823a" w14:textId="1f08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иных, чем предусмотрены Таможенным кодексом Евразийского экономического союза, в отношении которых таможенные операции совершаются в первоочередном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2022 года № 118.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иных, чем предусмотрены Таможенным кодексом Евразийского экономического союза, в отношении которых таможенные операции совершаются в первоочередном порядке.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 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 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г. № 118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товаров, иных, чем предусмотрены Таможенным кодексом Евразийского экономического союза, в отношении которых таможенные операции совершаются в первоочередном порядке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2304 00 000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 соевого масла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Декстрины и прочие модифицированные крахмалы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Реагенты диагностические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3824 99 550 0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Эмульгаторы для жиров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применения настоящего перечня необходимо руководствоваться как кодом ТН ВЭД ЕАЭС, так и наименованием товара.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