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96c" w14:textId="a037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ввоза на таможенную территорию Евразийского экономического союза и обращения на территориях государств – членов Евразийского экономического союза продукции, подлежащей обязательной оценке соответствия, в условиях реализации мер по повышению устойчивости экономик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октября 2022 года № 158.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2.10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повышению устойчивости экономик государств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 для поддержания стабильного предложения товаров на внутреннем рынке Евразийского экономического союза с учетом технологических особенностей производственных процессов в государствах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членах Евразийского экономического союза (далее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государства-члены)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продукции, подлежащей обязательной оценке соответствия на таможенной территории Евразийского экономического союза, правительствами государств-членов могут быть установлены особенности применения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в части определения порядка и случаев представления таможенным органам документов об оценке соответствия (сведений о таких документах) при помещении такой продукции под таможенные процедуры.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ввоза продукции, установленные в соответствии с абзацем первым настоящего пункта, не могут исключать обязательность соблюдения требований технических регламентов Евразийского экономического союза, и действуют до 1 сентября 2023 г. включительно.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незамедлительно информируют Евразийскую экономическую комиссию о принятых в соответствии с настоящим пунктом нормативно-правовых актах.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обеспечивает незамедлительное информирование государств-членов о принятых нормативно-правовых актах.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Продукция, ввезенная на территорию государства-члена в соответствии с пунктом 1 настоящего Решения, предназначена для обращения на территории этого государства-члена.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органам государств-членов принимать меры, направленные на обеспечение обращения продукции, выпущенной в обращение на территории государства-члена в соответствии с пунктом 1 настоящего Решения, исключительно на территории этого государства-члена, имея в виду безусловное соблюдение требований технических регламентов Евразийского экономического союза в отношении такой продукции.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подтверждения обращения продукции, ввезенной на территорию государства-члена в соответствии с пунктом 1 настоящего Решения, исключительно на территории этого государства-члена уполномоченным органам государств-членов обеспечивать обмен официальной статистической информацией об импортируемых и взаимопоставляемых товарах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декабря 2021 г. № 184 "О предоставлении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ввозимой (ввезенной) продукции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единого знака обращения продукции на рынке Евразийского экономического союза, утвержденный Решением Комиссии Таможенного союза от 15 июля 2011 г. № 711, применяется с учетом возможности осуществления маркировки продукции единым знаком обращения продукции на рынке Евразийского экономического союза после ее ввоза на территорию государства-члена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ввозимой (ввезенной) продукции на русском языке и (или) государственном (государственных) языке (языках) государства-члена, предусмотренная техническими регламентами Евразийского экономического союза, может осуществляться после ее ввоза на территорию государства-члена.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иностранным изготовителем лицо или импортер продукции, ввезенной на территорию государства-члена в соответствии с настоящим пунктом, должны обеспечить нанесение маркировки до реализации такой продукции приобретателю (потребителю).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Продукция, ввезенная на территорию государства-члена в соответствии с настоящим пунктом, может обращаться на территориях государств-членов только после нанесения соответствующей маркировки.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Особенности,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действуют до 1 сентября 2023 г. включительно.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10 календарных дней с даты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