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114d" w14:textId="67b1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Руководство по осуществлению взаимодействия между уполномоченными органами государств – членов Евразийского экономического союза и Евразийской экономической комиссией по вопросам подготовки проектов нотификаций для представления во Всемирную торговую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февраля 2022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обеспечения выполнения государствами – членами Евразийского экономического союза обязательств в части представления во Всемирную торговую организацию нотификаций по мерам регулирования, принимаемым в рамках Евразийского экономического союза,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Руководство по осуществлению взаимодействия между уполномоченными органами государств – членов Евразийского экономического союза и Евразийской экономической комиссией по вопросам подготовки проектов нотификаций для представления во Всемирную торговую организацию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21 марта 2017 г. № 8) с учетом изменений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г. № 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Руководство по осуществлению взаимодействия между уполномоченными органами государств – членов Евразийского экономического союза и Евразийской экономической комиссией по вопросам подготовки проектов нотификаций для представления во Всемирную торговую организацию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абзаце первом пункта 5: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слов "и направляется уполномоченным органам" дополнить словами ", в том числе";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предложением "В официальном письме указываются ссылки на соответствующие страницы официального сайта Союза, на которых размещены нотифицируемый акт (проект акта) органа Союза и все упомянутые в указанном проекте нотификации акты (проекты актов) органов Союза.".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9 дополнить абзацем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"Структурные подразделения уполномоченных органов государств-членов, являющихся членами ВТО, информируют структурное подразделение Комиссии о факте направления нотификаций в ВТО 2 раза в год (каждое полугодие).".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10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Структурные подразделения уполномоченных органов государств-членов в случае получения от членов ВТО запросов (обращений) по направленной государствами-членами в ВТО нотификации уведомляют об этом Комиссию в течение 3 дней с даты их получения.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оказывает координационное содействие структурным подразделениям уполномоченных органов при подготовке проектов ответов на запросы (обращения) членов ВТО.".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приложении к указанному Руководству: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14 в графе четвертой: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"70" заменить цифрами "90";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в течение меньшего срока, в зависимости от срока вступления в силу внесенных изменений";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16 в графе четвертой слова "в течение" заменить словами "не позднее";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позициях 28 и 30 в графе четвертой текст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позднее чем за 20 календарных дней до даты начала публичного обсуждения";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разделом XII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"XII. Единая система тарифных преференций Союза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Решение Договаривающихся Сторон Генерального соглашения по тарифам и торговле 1947 года L/4903 от 28 ноября 1979 г. (о дифференцированном и более благоприятном режиме, взаимности и более полном участии развивающихся стран),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Генерального совета ВТО WT/L/806 от 14 декабря 2010 г. (в части механизма транспарентности по единой системе тарифных преференций Союза)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30 июня года, следующего за годом, в котором были внесены соответствующие изменения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изменениях в документах, устанавливающих условия и порядок применения единой системы тарифных преференций Союза, перечень товаров, происходящих из развивающихся или из наименее развитых стран, в отношении которых при ввозе на таможенную территорию Союза предоставляются тарифные преференции, а также перечни развивающихся и наименее развитых стран – пользователей единой системы тарифных преференций Союза (за исключением технических или незначительных изменений)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4 месяца до вступления в силу внесенных изменений".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