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c799" w14:textId="ed9c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Методологии расчета сводных прогнозных балансов спроса и предложения государств – членов Евразийского экономического союза по основным видам промышленной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августа 2022 года № 33.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государствам – членам Евразийского экономического союза с даты опубликования настоящей Рекомендации на официальном сайте Союза при оценке перспектив развития основных отраслей промышленности и их инвестиционной привлекательности с учетом емкости рынка Союза руководствоваться Методологией расчета сводных прогнозных балансов спроса и предложения государств – членов Евразийского экономического союза по основным видам промышленной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г. № 33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</w:t>
      </w:r>
      <w:r>
        <w:br/>
      </w:r>
      <w:r>
        <w:rPr>
          <w:rFonts w:ascii="Times New Roman"/>
          <w:b/>
          <w:i w:val="false"/>
          <w:color w:val="000000"/>
        </w:rPr>
        <w:t>расчета сводных прогнозных балансов спроса и предложения государств – членов Евразийского экономического союза по основным видам промышленной продукции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сводных прогнозных балансов спроса и предложения государств – членов Евразийского экономического союза по основным видам промышленной продукции (далее соответственно – сводные балансы, государства-члены, Союз) осуществляется Евразийской экономической комиссией в целях развития взаимодействия государств-членов при реализации промышленной политики в рамках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балансы носят информационный, рекомендательный характер и рассчитываются по товарам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(в том числе на основании информации государств-членов) сводные балансы направляются Евразийской экономической комиссией государствам-членам для согласования не позднее 1 февраля года, следующего за текущим.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сводные балансы направляются Евразийской экономической комиссией в правительства государств-членов.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Расчет сводных балансов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балансы включают в себя данные за отчетный год, текущий год и 2 прогнозных (следующих за текущим годом) календарных года и состоят из двух частей – ресурсной и распределительной. Форма сводного баланса представлена в таблице 1.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сводного баланса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(отчетный)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(текущий)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(прогноз)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(прогноз)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начало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третьих стран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потребление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третьи страны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на конец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Ресурсная часть характеризует источники предложения товара на соответствующем рынке и рассчитывается по следующей формуле: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РЕСУРСЫ = Запасы</w:t>
      </w:r>
      <w:r>
        <w:rPr>
          <w:rFonts w:ascii="Times New Roman"/>
          <w:b w:val="false"/>
          <w:i w:val="false"/>
          <w:color w:val="000000"/>
          <w:vertAlign w:val="subscript"/>
        </w:rPr>
        <w:t>нг</w:t>
      </w:r>
      <w:r>
        <w:rPr>
          <w:rFonts w:ascii="Times New Roman"/>
          <w:b w:val="false"/>
          <w:i w:val="false"/>
          <w:color w:val="000000"/>
          <w:sz w:val="28"/>
        </w:rPr>
        <w:t xml:space="preserve"> + Производство + Импорт,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</w:t>
      </w:r>
      <w:r>
        <w:rPr>
          <w:rFonts w:ascii="Times New Roman"/>
          <w:b w:val="false"/>
          <w:i w:val="false"/>
          <w:color w:val="000000"/>
          <w:vertAlign w:val="subscript"/>
        </w:rPr>
        <w:t>нг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товара на начало года;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– объем производства товара;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– объем импорта товара (с разделением на взаимный импорт в рамках Союза и импорт из третьих стран).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Распределительная часть (использование) характеризует источники спроса на товар и рассчитывается по со следующей формуле: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= Потребление + Экспорт + Запасы</w:t>
      </w:r>
      <w:r>
        <w:rPr>
          <w:rFonts w:ascii="Times New Roman"/>
          <w:b w:val="false"/>
          <w:i w:val="false"/>
          <w:color w:val="000000"/>
          <w:vertAlign w:val="subscript"/>
        </w:rPr>
        <w:t>кг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– объем внутреннего потребления товара;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– объем экспорта товара (с разделением на взаимный экспорт в рамках Союза и экспорт в третьи страны);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</w:t>
      </w:r>
      <w:r>
        <w:rPr>
          <w:rFonts w:ascii="Times New Roman"/>
          <w:b w:val="false"/>
          <w:i w:val="false"/>
          <w:color w:val="000000"/>
          <w:vertAlign w:val="subscript"/>
        </w:rPr>
        <w:t>кг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товара на конец года.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импорта товара из других государств-членов определяется по данным об экспорте соответствующих государств-членов (принцип зеркальности).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балансы формируются путем суммирования соответствующих элементов балансов государств-членов. При этом в определении ресурсной и распределительной частей сводных балансов не учитываются показатели взаимного импорта и взаимного экспорта товара соответственно.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Ресурсная и распределительная части сводных балансов в соответствии с основным принципом баланса равны друг другу.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сводных балансов за отчетный год формируются на основе официальной статистической информации государств-членов, официальной статистической информации международных организаций и иной информации из источников, не запрещенных законодательством государств-членов.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Внутреннее потребление может быть рассчитано путем применения балансового метода по формуле: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= ИСПОЛЬЗОВАНИЕ – Экспорт – Запасы</w:t>
      </w:r>
      <w:r>
        <w:rPr>
          <w:rFonts w:ascii="Times New Roman"/>
          <w:b w:val="false"/>
          <w:i w:val="false"/>
          <w:color w:val="000000"/>
          <w:vertAlign w:val="subscript"/>
        </w:rPr>
        <w:t>кг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сводных балансов на текущий и 2 прогнозных года определяются в соответствии с прогнозами уполномоченных органов государств-членов с учетом национальных и отраслевых программ и планов развития, а также данных национальных производителей и органов статистики государств-членов.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указанной информации элементы сводных балансов формируются путем применения одного из следующих методов: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экстраполяция на основе данных за предыдущие годы;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эконометрическое моделирование на основе динамики производства товара и ценовой конъюнктуры мирового рынка и рынков государств-членов, прогнозных темпов роста смежных отраслей, состояния экономик государств-членов и иных факторов;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оценка, в том числе с учетом основных реализуемых инвестиционных проектов.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точности данных возможно одновременное использование указанных методов с последующим взаимным сравнением полученных результатов.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формируется страновая структура сводных балансов по состоянию на отчетный год, форма которой представлена в таблице 2.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страновой структуры сводных балансов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начало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третьих 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потребление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третьи страны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на конец года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расчета 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балансов спроса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видам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товаров, по которым рассчитываются сводные прогнозные </w:t>
      </w:r>
      <w:r>
        <w:br/>
      </w:r>
      <w:r>
        <w:rPr>
          <w:rFonts w:ascii="Times New Roman"/>
          <w:b/>
          <w:i w:val="false"/>
          <w:color w:val="000000"/>
        </w:rPr>
        <w:t xml:space="preserve">балансы спроса и предложения государств –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Лекарственные средства и фармацевтические субстанции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 21 0000 –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2918 23 000 0, 2922 41 000 0,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 42 000 0, 2923, 2924, 2932 20, 2933, 2934 30, 2935 – 2941, 3001 – 3006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Азотные удобрения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Калийные удобрения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Плиты древесно-стружечные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 куб. 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Волокна и нити химические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 – 5405 00 000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5501 – 5504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Стекло листовое полированное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(флоат-стекло)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кв.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Готовый прокат черных металлов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сталь в слитках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7208 – 7216, 7218 – 7222, 7224 – 7228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 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Трубы стальные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 – 7306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 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Холодильники и морозильники бытовые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8418 10, 8418 21, 8418 29 000 0, 8418 30, 8418 40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Погрузчики фронтальные одноковшовые самоходные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8429 51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Комбайны зерноуборочные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8433 51 000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Аккумуляторы электрические свинцовые, используемые для запуска поршневых двигателей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8507 10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Приемники телевизионные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8528 72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Схемы интегральные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Вагоны железнодорожные или трамвайные, грузовые несамоходные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Автомобили грузовые (включая тягачи)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21 – 8701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29, 8704 21 –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8704 23, 8704 31, 8704 32, 8704 90 000 0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Тракторы для сельского и лесного хозяйства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8701 91 – 8701 95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Моторные транспортные средства, предназначенные для перевозки 10 человек или более, включая водителя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Автомобили легковые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Автомобили – самосвалы, предназначенные для эксплуатации в условиях бездорожья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8704 10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Прицепы и полуприцепы тракторные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8716 20 000 0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Для целей применения настоящего перечня следует руководствоваться как кодом ТН ВЭД ЕАЭС, так и наименованием товара.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