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75832" w14:textId="a0758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Регламент работы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25 декабря 2023 года № 23.</w:t>
      </w:r>
    </w:p>
    <w:p>
      <w:pPr>
        <w:spacing w:after="0"/>
        <w:ind w:left="0"/>
        <w:jc w:val="left"/>
      </w:pP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работы Евразийской экономической комиссии, утвержденный Решением Высшего Евразийского экономического совета от 23 декабря 2014 г. № 98, изменения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даты его официального опубликования, но не ранее даты вступления в силу Протокола о внесении изменений в Договор о Евразийском экономическом союзе от 29 мая 2014 года, подписанного 31 марта 2022 г.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Члены </w:t>
      </w:r>
      <w:r>
        <w:rPr>
          <w:rFonts w:ascii="Times New Roman"/>
          <w:b/>
          <w:i w:val="false"/>
          <w:color w:val="000000"/>
          <w:sz w:val="28"/>
        </w:rPr>
        <w:t>Высшего Евразийского</w:t>
      </w:r>
      <w:r>
        <w:rPr>
          <w:rFonts w:ascii="Times New Roman"/>
          <w:b/>
          <w:i w:val="false"/>
          <w:color w:val="000000"/>
          <w:sz w:val="28"/>
        </w:rPr>
        <w:t xml:space="preserve"> экономическо</w:t>
      </w:r>
      <w:r>
        <w:rPr>
          <w:rFonts w:ascii="Times New Roman"/>
          <w:b/>
          <w:i w:val="false"/>
          <w:color w:val="000000"/>
          <w:sz w:val="28"/>
        </w:rPr>
        <w:t>го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совета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Высшего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экономического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2023 года № 23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>вносимые в Регламент работы Евразийской экономической комиссии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"и взаимодействия с государствами - членами Союза (далее - государства-члены)" заменить словами "и проектов международных договоров, заключаемых между государствами - членами Союза по вопросам, связанным с функционированием и развитием Союза (далее соответственно - международные договоры в рамках Союза, государства-члены), оценки фактического воздействия принятых решений Комиссии и взаимодействия с государствами- членами".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заключаемыми между государствами- членами по вопросам, связанным с функционированием и развитием Союза (далее - международные договоры в рамках Союза)" заменить словами "в рамках Союза".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предложении втором абзаца двенадцатого 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определенных созданным государствами-членами бизнес-диалогом для осуществления постоянного взаимодействия между Комиссией и бизнес-сообществом (далее - бизнес-диалог)" исключить.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 предложении втором абзаца четырнадцатого </w:t>
      </w:r>
      <w:r>
        <w:rPr>
          <w:rFonts w:ascii="Times New Roman"/>
          <w:b w:val="false"/>
          <w:i w:val="false"/>
          <w:color w:val="000000"/>
          <w:sz w:val="28"/>
        </w:rPr>
        <w:t>пункта 69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определенных бизнес-диалогом" исключить.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Подпункт 15 </w:t>
      </w:r>
      <w:r>
        <w:rPr>
          <w:rFonts w:ascii="Times New Roman"/>
          <w:b w:val="false"/>
          <w:i w:val="false"/>
          <w:color w:val="000000"/>
          <w:sz w:val="28"/>
        </w:rPr>
        <w:t>пункта 142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словами ", о согласовании продления срока государственного ценового регулирования, об отказе в согласовании продления срока государственного ценового регулирования".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абзаце третьем </w:t>
      </w:r>
      <w:r>
        <w:rPr>
          <w:rFonts w:ascii="Times New Roman"/>
          <w:b w:val="false"/>
          <w:i w:val="false"/>
          <w:color w:val="000000"/>
          <w:sz w:val="28"/>
        </w:rPr>
        <w:t>пункта 156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", определенных бизнес- диалогом" исключить.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абзаце пятом </w:t>
      </w:r>
      <w:r>
        <w:rPr>
          <w:rFonts w:ascii="Times New Roman"/>
          <w:b w:val="false"/>
          <w:i w:val="false"/>
          <w:color w:val="000000"/>
          <w:sz w:val="28"/>
        </w:rPr>
        <w:t>пункта 165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"бизнес-диалога" заменить словами "бизнес-сообщества каждого государства-члена".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</w:t>
      </w:r>
      <w:r>
        <w:rPr>
          <w:rFonts w:ascii="Times New Roman"/>
          <w:b w:val="false"/>
          <w:i w:val="false"/>
          <w:color w:val="000000"/>
          <w:sz w:val="28"/>
        </w:rPr>
        <w:t>пункте 167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"бизнес-диалога" заменить словами "от бизнес-сообщества каждого государства-члена".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>Наименование подраздела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раздела IX изложить в следующей редакции: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Отчет о мониторинге проведения процедур оценки регулирующего воздействия проектов решений Комиссии и проектов международных договоров в рамках Союза и оценки фактического воздействия принятых решений Комиссии".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>Пункт 171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"171. Подготовка отчета Комиссии о мониторинге проведения процедур оценки регулирующего воздействия проектов решений Комиссии и проектов международных договоров в рамках Союза и оценки фактического воздействия принятых решений Комиссии, предусмотренного подпунктом 5 пункта 24 Положения о Комиссии (далее - отчет), осуществляется сводным департаментом 1 раз в 2 года до 1 февраля года, следующего за отчетным периодом.".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В </w:t>
      </w:r>
      <w:r>
        <w:rPr>
          <w:rFonts w:ascii="Times New Roman"/>
          <w:b w:val="false"/>
          <w:i w:val="false"/>
          <w:color w:val="000000"/>
          <w:sz w:val="28"/>
        </w:rPr>
        <w:t>пункте 172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 первый изложить в следующей редакции: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"172. Отчет должен содержать информацию:";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дополнить подпунктами 3 и 4 следующего содержания: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 ) о количестве решений Комиссии, по которым была проведена оценка фактического воздействия, и результатах ее проведения;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 о количестве проектов международных договоров в рамках Союза, которые могут оказать влияние на условия ведения предпринимательской деятельности, по которым была проведена оценка регулирующего воздействия в соответствии с разделом XI настоящего Регламента, и результатах ее проведения.".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 </w:t>
      </w:r>
      <w:r>
        <w:rPr>
          <w:rFonts w:ascii="Times New Roman"/>
          <w:b w:val="false"/>
          <w:i w:val="false"/>
          <w:color w:val="000000"/>
          <w:sz w:val="28"/>
        </w:rPr>
        <w:t>пункте 173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 абзац первый изложить в следующей редакции: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"173. Отчет дополнительно может содержать:";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 подпункты 1 - 3 после слова "воздействия" дополнить словами "и оценки фактического воздействия".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 тексту </w:t>
      </w:r>
      <w:r>
        <w:rPr>
          <w:rFonts w:ascii="Times New Roman"/>
          <w:b w:val="false"/>
          <w:i w:val="false"/>
          <w:color w:val="000000"/>
          <w:sz w:val="28"/>
        </w:rPr>
        <w:t>пунктов 174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175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"ежегодный отчет о мониторинге проведения оценки регулирующего воздействия" в соответствующем падеже заменить словом "отчет" в соответствующем падеже.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Дополнить разделами X и XI следующего содержания: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"X. Оценка фактического воздействия принятых решений Комиссии</w:t>
      </w:r>
    </w:p>
    <w:bookmarkEnd w:id="28"/>
    <w:p>
      <w:pPr>
        <w:spacing w:after="0"/>
        <w:ind w:left="0"/>
        <w:jc w:val="both"/>
      </w:pPr>
      <w:bookmarkStart w:name="z32" w:id="29"/>
      <w:r>
        <w:rPr>
          <w:rFonts w:ascii="Times New Roman"/>
          <w:b w:val="false"/>
          <w:i w:val="false"/>
          <w:color w:val="000000"/>
          <w:sz w:val="28"/>
        </w:rPr>
        <w:t>
      1. Объекты, характеристики и этапы оценки фактического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воздействия принятых решений Комиссии</w:t>
      </w:r>
    </w:p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176. В отношении принятых решений Комиссии, которые оказывают влияние на условия ведения предпринимательской деятельности, проводится оценка фактического воздействия (далее - оценка фактического воздействия).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фактического воздействия проводится в отношении действующих редакций решений Комиссии, которые предусматривали введение нового регулирования, в том числе утверждение документов, имеющих нормативный характер (например, правил, порядков, инструкций), за исключением решений Комиссии о внесении изменений в принятые решения Комиссии.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фактического воздействия проводится, как правило, по истечении каждых 3 лет действия соответствующего решения Комиссии с учетом положений пунктов 178 - 180 настоящего Регламента.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Методическое обеспечение и консультационное сопровождение проведения оценки фактического воздействия осуществляются сводным департаментом.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177. Положения настоящего раздела не распространяются на решения Комиссии, в отношении проектов которых оценка регулирующего воздействия не проводилась или не требуется на основании пункта 142 настоящего Регламента, а также на решения Комиссии в сфере применения санитарных, ветеринарно-санитарных и карантинных фитосанитарных мер.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отношении решений Комиссии о принятии технических регламентов Союза, внесении в них изменений или об их отмене, решений Комиссии об утверждении перечней международных и региональных (межгосударственных) стандартов, а в случае их отсутствия - национальных (государственных) стандартов, в результате применения которых на добровольной основе обеспечивается соблюдение требований технических регламентов Союза, и перечней международных и региональных (межгосударственных) стандартов, а в случае их отсутствия - национальных (государственных)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технических регламентов Союза и осуществления оценки соответствия объектов технического регулирования, оценка фактического воздействия состоит из этапов (процедур), определенных порядком проведения периодической оценки научно-технического уровня технических регламентов Союза и перечней стандартов к ним, утверждаемым Советом.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178. Очередность проведения оценки фактического воздействия определяется департаментом Комиссии, ответственным за подготовку проекта принятого решения Комиссии (далее - ответственный департамент), исходя из необходимости проведения оценки фактического воздействия в первоочередном порядке в отношении принятых решений Комиссии, соответствующих следующим критериям: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количество адресатов регулирования (субъектов предпринимательской деятельности), на которых распространяется область применения решений Комиссии;</w:t>
      </w:r>
    </w:p>
    <w:bookmarkEnd w:id="37"/>
    <w:bookmarkStart w:name="z4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(отсутствие) и количество обращений органов государственной власти государств-членов и субъектов предпринимательской деятельности о наличии проблем, связанных с применением решений Комиссии и их фактическим воздействием на условия ведения предпринимательской деятельности;</w:t>
      </w:r>
    </w:p>
    <w:bookmarkEnd w:id="38"/>
    <w:bookmarkStart w:name="z4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объем предусмотренных решениями Комиссии обязанностей, ограничений и (или) запретов для субъектов предпринимательской деятельности, в том числе регулятивных требований и (или) процедур, а также объем расходов и иных издержек субъектов предпринимательской деятельности на их исполнение;</w:t>
      </w:r>
    </w:p>
    <w:bookmarkEnd w:id="39"/>
    <w:bookmarkStart w:name="z4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значимость проблем, на решение которых направлены принятые решения Комиссии (с учетом особенностей регулирования в отдельных сферах).</w:t>
      </w:r>
    </w:p>
    <w:bookmarkEnd w:id="40"/>
    <w:bookmarkStart w:name="z4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179. В случае поступления в Комиссию от органа государственной власти государства-члена, уполномоченного на взаимодействие с Комиссией, предложения о проведении оценки фактического воздействия принятого решения Комиссии с обоснованием необходимости проведения такой оценки ответственным департаментом в течение 30 календарных дней обеспечивается начало проведения соответствующей процедуры оценки фактического воздействия.</w:t>
      </w:r>
    </w:p>
    <w:bookmarkEnd w:id="41"/>
    <w:bookmarkStart w:name="z45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180. При наличии позиции сводного департамента о необходимости проведения оценки фактического воздействия с обоснованием этой необходимости соответствующий вопрос подлежит рассмотрению на заседании рабочей группы.</w:t>
      </w:r>
    </w:p>
    <w:bookmarkEnd w:id="42"/>
    <w:bookmarkStart w:name="z4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по вопросу о необходимости проведения оценки фактического воздействия по результатам проведения заседания рабочей группы между ответственным департаментом и сводным департаментом не было достигнуто согласие, решение по данному вопросу принимается Коллегией.</w:t>
      </w:r>
    </w:p>
    <w:bookmarkEnd w:id="43"/>
    <w:bookmarkStart w:name="z4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181. Оценка фактического воздействия проводится в целях установления с учетом практики применения решений Комиссии достижения заявленных при их разработке целей регулирования и выявления факта наличия в положениях решений Комиссии или возникновения в связи с этими положениями избыточных ограничений, препятствий для свободного движения товаров, услуг, капитала и рабочей силы на внутреннем рынке Союза.</w:t>
      </w:r>
    </w:p>
    <w:bookmarkEnd w:id="44"/>
    <w:bookmarkStart w:name="z4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182. Оценка фактического воздействия проводится на предмет выявления в принятых решениях Комиссии следующих положений:</w:t>
      </w:r>
    </w:p>
    <w:bookmarkEnd w:id="45"/>
    <w:bookmarkStart w:name="z4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неоднозначные регулятивные требования и (или) процедуры, создающие правовую неопределенность при их практическом применении;</w:t>
      </w:r>
    </w:p>
    <w:bookmarkEnd w:id="46"/>
    <w:bookmarkStart w:name="z50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регулятивные требования и (или) процедуры, не соответствующие положениям Договора о Союзе, международных договоров в рамках Союза, международных договоров Союза с третьей стороной, актов Высшего совета и (или) Межправительственного совета, а также не соответствующие предусмотренным ими целям регулирования в определенной сфере или не обеспечивающие достижение целей регулирования в определенной сфере, в том числе имеющие формальный характер, либо создающие коллизии между положениями актов органов Союза;</w:t>
      </w:r>
    </w:p>
    <w:bookmarkEnd w:id="47"/>
    <w:bookmarkStart w:name="z51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фактически не применяемые (невостребованные) регулятивные требования и (или) процедуры;</w:t>
      </w:r>
    </w:p>
    <w:bookmarkEnd w:id="48"/>
    <w:bookmarkStart w:name="z52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дублирующие регулятивные требования и (или) процедуры;</w:t>
      </w:r>
    </w:p>
    <w:bookmarkEnd w:id="49"/>
    <w:bookmarkStart w:name="z53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регулятивные требования и (или) процедуры, не реализуемые в связи с недостаточностью ресурсов, необходимых для их исполнения;</w:t>
      </w:r>
    </w:p>
    <w:bookmarkEnd w:id="50"/>
    <w:bookmarkStart w:name="z54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регулятивные требования и (или) процедуры, в отношении которых существует возможность выбора более эффективного варианта регулирования по сравнению с действующим регулированием;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иные положения, которые оказывают или могут оказать отрицательное влияние на условия ведения предпринимательской деятельности.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183. Проведение оценки фактического воздействия состоит из следующих этапов: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текущая оценка - проведение публичных консультаций с представителями бизнес-ассоциаций и хозяйствующими субъектами государств-членов и подведение их итогов;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итоговая оценка - подготовка заключения об оценке фактического воздействия.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Текущая оценка фактического воздействия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184.В целях получения экспертной оценки фактических последствий влияния решения Комиссии на условия ведения предпринимательской деятельности, в том числе в части выявления положений, предусмотренных пунктом 182 настоящего Регламента, ответственным департаментом составляется анкета, содержащая перечень вопросов для заинтересованных лиц.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Анкета составляется по форме, устанавливаемой правилами внутреннего документооборота в Комиссии.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185. В целях организации публичных консультаций в рамках оценки фактического воздействия ответственным департаментом осуществляется размещение на официальном сайте Союза принятого решения Комиссии и анкеты с информированием о проведении в отношении его оценки фактического воздействия.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публичных консультаций начинается со дня размещения на официальном сайте Союза принятого решения Комиссии с информацией о проведении в отношении его оценки фактического воздействия, а также анкеты.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186. Ответственный департамент в течение 5 календарных дней со дня размещения на официальном сайте Союза принятого решения Комиссии и анкеты информирует в письменном виде, в том числе посредством использования электронной почты, о начале проведения публичных консультаций: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сводный департамент и членов рабочей группы;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координаторов от бизнес-сообщества каждого государства-члена;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представителей бизнес-сообщества, научных и общественных организаций, иных независимых экспертов, включенных в состав консультативного органа;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иных лиц, которых, по мнению ответственного департамента, целесообразно привлечь к оценке фактического воздействия.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Указанным лицам направляется информация:</w:t>
      </w:r>
    </w:p>
    <w:bookmarkEnd w:id="66"/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месте размещения на официальном сайте Союза принятого решения Комиссии с информацией о проведении в отношении его оценки фактического воздействия, а также анкеты (полные электронные адреса (гиперссылки));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сроке проведения публичных консультаций, в течение которого ответственным департаментом принимаются заполненные анкеты, и способе их представления (с использованием соответствующего сервиса официального сайта Союза, на бумажных носителях и (или) посредством электронной почты).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187. Срок публичных консультаций не может составлять менее 60 календарных дней со дня размещения на официальном сайте Союза принятого решения Комиссии с информацией о проведении в отношении его оценки фактического воздействия, а также анкеты.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188. Ответственный департамент рассматривает поступившие в ходе проведения публичных консультаций заполненные анкеты, а также замечания и предложения (в свободной форме).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189. С целью информирования заинтересованных лиц ответственный департамент в течение 30 календарных дней со дня окончания срока проведения публичных консультаций размещает на официальном сайте Союза по форме, устанавливаемой правилами внутреннего документооборота в Комиссии, сводку отзывов по результатам обобщения ответов на вопросы, содержащиеся в анкете, а также замечаний и предложений, поступивших в ходе проведения публичных консультаций (далее - сводка отзывов).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Итоговая оценка фактического воздействия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190. Решение Комиссии, в отношении которого проводится оценка фактического воздействия, анкета и сводка отзывов направляются ответственным департаментом в сводный департамент и членам рабочей группы для подготовки заключения об оценке фактического воздействия.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191. Рабочая группа в течение 30 календарных дней со дня поступления от ответственного департамента решения Комиссии, анкеты и сводки отзывов обеспечивает подготовку заключения об оценке фактического воздействия.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подготовке заключения об оценке фактического воздействия рабочая группа принимает во внимание заключения об оценке фактического воздействия в отношении данного решения Комиссии, подготовленные уполномоченными органами государств-членов (при наличии).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подготовке заключения об оценке фактического воздействия рабочая группа использует замечания и предложения, поступившие на всех этапах оценки от представителей бизнес-сообщества и экспертного сообщества, а также от иных заинтересованных лиц.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Обязательному отражению в заключении об оценке фактического воздействия подлежат: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информация о консолидированной позиции координаторов от бизнес-сообщества каждого государства-члена по принятому решению Комиссии (при наличии такой позиции);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позиции ответственного департамента по принятому решению Комиссии (в случае ее поступления в сводный департамент или представления на заседании рабочей группы).</w:t>
      </w:r>
    </w:p>
    <w:bookmarkEnd w:id="79"/>
    <w:bookmarkStart w:name="z8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192. Заключение об оценке фактического воздействия подписывается руководителем рабочей группы, а в период его отсутствия в связи с временной нетрудоспособностью, отпуском или командировкой - заместителем руководителя рабочей группы.</w:t>
      </w:r>
    </w:p>
    <w:bookmarkEnd w:id="80"/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193. Сводный департамент не позднее 3 календарных дней со дня подписания заключения об оценке фактического воздействия направляет его ответственному департаменту, членам рабочей группы, а также обеспечивает его размещение на официальном сайте Союза.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194. Предложения по внесению изменений в решение Комиссии, указанные в заключении об оценке фактического воздействия, должны быть рассмотрены на предмет возможности их учета ответственным департаментом и государствами-членами при подготовке проекта решения Комиссии о внесении изменений в соответствующее решение Комиссии.</w:t>
      </w:r>
    </w:p>
    <w:bookmarkEnd w:id="82"/>
    <w:p>
      <w:pPr>
        <w:spacing w:after="0"/>
        <w:ind w:left="0"/>
        <w:jc w:val="both"/>
      </w:pPr>
      <w:bookmarkStart w:name="z86" w:id="83"/>
      <w:r>
        <w:rPr>
          <w:rFonts w:ascii="Times New Roman"/>
          <w:b w:val="false"/>
          <w:i w:val="false"/>
          <w:color w:val="000000"/>
          <w:sz w:val="28"/>
        </w:rPr>
        <w:t>
      XI. Оценка регулирующего воздействия проектов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международных договоров в рамках Союза</w:t>
      </w:r>
    </w:p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195. Оценка регулирующего воздействия проектов международных договоров в рамках Союза, которые могут оказать влияние на условия ведения предпринимательской деятельности, является обязательным этапом их подготовки.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196. Оценка регулирующего воздействия проектов международных договоров в рамках Союза проводится в порядке, предусмотренном разделом IX настоящего Регламента, с учетом следующих особенностей: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проект международного договора в рамках Союза, информационно-аналитическая справка и опросный лист размещаются на официальном сайте Союза для проведения в течение не менее 45 календарных дней публичного обсуждения;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публичного обсуждения департаментом- разработчиком не может быть принято решение об отказе от дальнейшей подготовки проекта международного договора в рамках Союза;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заключения об оценке регулирующего воздействия проекта международного договора в рамках Союза осуществляется рабочей группой в течение 20 календарных дней со дня поступления проекта международного договора в рамках Союза и комплекта документов к нему;</w:t>
      </w:r>
    </w:p>
    <w:bookmarkEnd w:id="88"/>
    <w:bookmarkStart w:name="z92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оценка регулирующего воздействия в отношении проектов международных договоров в рамках Союза проводится до их направления в государства-члены для проведения внутригосударственного согласования;</w:t>
      </w:r>
    </w:p>
    <w:bookmarkEnd w:id="89"/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случае поступления до направления проекта международного договора в рамках Союза для проведения внутригосударственного согласования позиции органа государственной власти государства- члена, уполномоченного на взаимодействие с Комиссией, о необходимости проведения оценки регулирующего воздействия проведение такой оценки является обязательным;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заключение об оценке регулирующего воздействия проекта международного договора в рамках Союза представляется государствам-членам одновременно с направлением проекта этого международного договора для проведения внутригосударственного согласования.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197) Положения настоящего раздела не применяются в отношении проектов международных договоров в рамках Союза, которые: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198) оказывают влияния на условия ведения предпринимательской деятельности;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199) ранее направлялись в государства-члены для проведения внутригосударственного согласования;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200) касаются организации деятельности и функционирования органов Союза;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201) касаются вопросов регулирования, контроля и применения промышленных субсидий;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202) носят технический и (или) юридико-технический характер;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203) содержат сведения ограниченного распространения.".</w:t>
      </w:r>
    </w:p>
    <w:bookmarkEnd w:id="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