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5734" w14:textId="8745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нормативных правовых актах государств - членов Евразийского экономического союза в сфере естественных монополий, которые подлежат сближению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25 декабря 2023 года № 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гармонизации законодательства государств - членов Евразийского экономического союза (далее - государства-члены) в сфере естественных монополий: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Государствам-членам обеспечить проведение работы по внесению изменений в свое законодательство, в том числе по разработке нормативных правовых актов, направленных на сближение правового регулирования, предусмотренного нормативными правовыми актами в сфере естественных монополий, указанных в перечне, размещенном на официальном сайте Евразийского экономического союза по адресу: https://eec.eaeunion.org/upload/files/transport/project_07_2023.pdf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совместно с государствами-членами представить в первом полугодии 2028 г. для рассмотрения Высшим Евразийским экономическим советом информацию о результатах мониторинга исполнения государствами- членами пункта 1 настоящего распоряжения.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