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733d" w14:textId="0ff7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Коллегии Евразийской экономической комиссии от 16 октября 2018 г. № 158</w:t>
      </w:r>
    </w:p>
    <w:p>
      <w:pPr>
        <w:spacing w:after="0"/>
        <w:ind w:left="0"/>
        <w:jc w:val="both"/>
      </w:pPr>
      <w:r>
        <w:rPr>
          <w:rFonts w:ascii="Times New Roman"/>
          <w:b w:val="false"/>
          <w:i w:val="false"/>
          <w:color w:val="000000"/>
          <w:sz w:val="28"/>
        </w:rPr>
        <w:t>Решение Коллегии Евразийской экономической комиссии от 21 марта 2023 года № 37.</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и </w:t>
      </w:r>
      <w:r>
        <w:rPr>
          <w:rFonts w:ascii="Times New Roman"/>
          <w:b w:val="false"/>
          <w:i w:val="false"/>
          <w:color w:val="000000"/>
          <w:sz w:val="28"/>
        </w:rPr>
        <w:t>пунктом 3</w:t>
      </w:r>
      <w:r>
        <w:rPr>
          <w:rFonts w:ascii="Times New Roman"/>
          <w:b w:val="false"/>
          <w:i w:val="false"/>
          <w:color w:val="000000"/>
          <w:sz w:val="28"/>
        </w:rPr>
        <w:t xml:space="preserve"> статьи 260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16 октября 2018 г. № 158 "О таможенном декларировании товаров для личного пользования, доставляемых перевозчиком в качестве экспресс-груза, с использованием пассажирской таможенной декларации"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2. Настоящее Решение вступает в силу c 1 октября 2023 г.</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марта 2023 г. № 37</w:t>
            </w:r>
          </w:p>
        </w:tc>
      </w:tr>
    </w:tbl>
    <w:bookmarkStart w:name="z9" w:id="1"/>
    <w:p>
      <w:pPr>
        <w:spacing w:after="0"/>
        <w:ind w:left="0"/>
        <w:jc w:val="left"/>
      </w:pPr>
      <w:r>
        <w:rPr>
          <w:rFonts w:ascii="Times New Roman"/>
          <w:b/>
          <w:i w:val="false"/>
          <w:color w:val="000000"/>
        </w:rPr>
        <w:t xml:space="preserve"> ИЗМЕНЕНИЯ,</w:t>
      </w:r>
    </w:p>
    <w:bookmarkEnd w:id="1"/>
    <w:bookmarkStart w:name="z10" w:id="2"/>
    <w:p>
      <w:pPr>
        <w:spacing w:after="0"/>
        <w:ind w:left="0"/>
        <w:jc w:val="left"/>
      </w:pPr>
      <w:r>
        <w:rPr>
          <w:rFonts w:ascii="Times New Roman"/>
          <w:b/>
          <w:i w:val="false"/>
          <w:color w:val="000000"/>
        </w:rPr>
        <w:t xml:space="preserve"> вносимые в Решение Коллегии Евразийской экономической комиссии от 16 октября 2018 г. № 158</w:t>
      </w:r>
    </w:p>
    <w:bookmarkEnd w:id="2"/>
    <w:bookmarkStart w:name="z11" w:id="3"/>
    <w:p>
      <w:pPr>
        <w:spacing w:after="0"/>
        <w:ind w:left="0"/>
        <w:jc w:val="both"/>
      </w:pPr>
      <w:r>
        <w:rPr>
          <w:rFonts w:ascii="Times New Roman"/>
          <w:b w:val="false"/>
          <w:i w:val="false"/>
          <w:color w:val="000000"/>
          <w:sz w:val="28"/>
        </w:rPr>
        <w:t>
      1. Форму пассажирской таможенной декларации для экспресс-грузов, утвержденную указанным Решением, изложить в следующей редакции:</w:t>
      </w:r>
    </w:p>
    <w:bookmarkEnd w:id="3"/>
    <w:bookmarkStart w:name="z12" w:id="4"/>
    <w:p>
      <w:pPr>
        <w:spacing w:after="0"/>
        <w:ind w:left="0"/>
        <w:jc w:val="both"/>
      </w:pPr>
      <w:r>
        <w:rPr>
          <w:rFonts w:ascii="Times New Roman"/>
          <w:b w:val="false"/>
          <w:i w:val="false"/>
          <w:color w:val="000000"/>
          <w:sz w:val="28"/>
        </w:rPr>
        <w:t>
      2. В Порядке заполнения пассажирской таможенной декларации для экспресс-грузов, утвержденном указанным Решением:</w:t>
      </w:r>
    </w:p>
    <w:bookmarkEnd w:id="4"/>
    <w:bookmarkStart w:name="z13" w:id="5"/>
    <w:p>
      <w:pPr>
        <w:spacing w:after="0"/>
        <w:ind w:left="0"/>
        <w:jc w:val="both"/>
      </w:pPr>
      <w:r>
        <w:rPr>
          <w:rFonts w:ascii="Times New Roman"/>
          <w:b w:val="false"/>
          <w:i w:val="false"/>
          <w:color w:val="000000"/>
          <w:sz w:val="28"/>
        </w:rPr>
        <w:t>
      а) абзац первый пункта 12 после слов "проживания (пребывания) лица" дополнить словами ", о месте нахождения";</w:t>
      </w:r>
    </w:p>
    <w:bookmarkEnd w:id="5"/>
    <w:bookmarkStart w:name="z14" w:id="6"/>
    <w:p>
      <w:pPr>
        <w:spacing w:after="0"/>
        <w:ind w:left="0"/>
        <w:jc w:val="both"/>
      </w:pPr>
      <w:r>
        <w:rPr>
          <w:rFonts w:ascii="Times New Roman"/>
          <w:b w:val="false"/>
          <w:i w:val="false"/>
          <w:color w:val="000000"/>
          <w:sz w:val="28"/>
        </w:rPr>
        <w:t>
      б) дополнить пунктом 23</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6"/>
    <w:bookmarkStart w:name="z15" w:id="7"/>
    <w:p>
      <w:pPr>
        <w:spacing w:after="0"/>
        <w:ind w:left="0"/>
        <w:jc w:val="both"/>
      </w:pPr>
      <w:r>
        <w:rPr>
          <w:rFonts w:ascii="Times New Roman"/>
          <w:b w:val="false"/>
          <w:i w:val="false"/>
          <w:color w:val="000000"/>
          <w:sz w:val="28"/>
        </w:rPr>
        <w:t>
      "23</w:t>
      </w:r>
      <w:r>
        <w:rPr>
          <w:rFonts w:ascii="Times New Roman"/>
          <w:b w:val="false"/>
          <w:i w:val="false"/>
          <w:color w:val="000000"/>
          <w:vertAlign w:val="superscript"/>
        </w:rPr>
        <w:t>1</w:t>
      </w:r>
      <w:r>
        <w:rPr>
          <w:rFonts w:ascii="Times New Roman"/>
          <w:b w:val="false"/>
          <w:i w:val="false"/>
          <w:color w:val="000000"/>
          <w:sz w:val="28"/>
        </w:rPr>
        <w:t>. Графа "Место нахождения товаров" заполняется в следующем порядке.</w:t>
      </w:r>
    </w:p>
    <w:bookmarkEnd w:id="7"/>
    <w:bookmarkStart w:name="z16" w:id="8"/>
    <w:p>
      <w:pPr>
        <w:spacing w:after="0"/>
        <w:ind w:left="0"/>
        <w:jc w:val="both"/>
      </w:pPr>
      <w:r>
        <w:rPr>
          <w:rFonts w:ascii="Times New Roman"/>
          <w:b w:val="false"/>
          <w:i w:val="false"/>
          <w:color w:val="000000"/>
          <w:sz w:val="28"/>
        </w:rPr>
        <w:t>
      В графе указываются сведения о месте, в котором товары для личного пользования находятся на момент подачи ПТДЭГ или будут находиться при предварительном таможенном декларировании:</w:t>
      </w:r>
    </w:p>
    <w:bookmarkEnd w:id="8"/>
    <w:bookmarkStart w:name="z17" w:id="9"/>
    <w:p>
      <w:pPr>
        <w:spacing w:after="0"/>
        <w:ind w:left="0"/>
        <w:jc w:val="both"/>
      </w:pPr>
      <w:r>
        <w:rPr>
          <w:rFonts w:ascii="Times New Roman"/>
          <w:b w:val="false"/>
          <w:i w:val="false"/>
          <w:color w:val="000000"/>
          <w:sz w:val="28"/>
        </w:rPr>
        <w:t>
      код места нахождения товаров в соответствии с классификатором мест нахождения товаров;</w:t>
      </w:r>
    </w:p>
    <w:bookmarkEnd w:id="9"/>
    <w:bookmarkStart w:name="z18" w:id="10"/>
    <w:p>
      <w:pPr>
        <w:spacing w:after="0"/>
        <w:ind w:left="0"/>
        <w:jc w:val="both"/>
      </w:pPr>
      <w:r>
        <w:rPr>
          <w:rFonts w:ascii="Times New Roman"/>
          <w:b w:val="false"/>
          <w:i w:val="false"/>
          <w:color w:val="000000"/>
          <w:sz w:val="28"/>
        </w:rPr>
        <w:t>
      код таможенного органа, в регионе деятельности которого находится указанное место нахождения товаров, в соответствии с классификатором таможенных органов, применяемым в государстве-члене;</w:t>
      </w:r>
    </w:p>
    <w:bookmarkEnd w:id="10"/>
    <w:bookmarkStart w:name="z19" w:id="11"/>
    <w:p>
      <w:pPr>
        <w:spacing w:after="0"/>
        <w:ind w:left="0"/>
        <w:jc w:val="both"/>
      </w:pPr>
      <w:r>
        <w:rPr>
          <w:rFonts w:ascii="Times New Roman"/>
          <w:b w:val="false"/>
          <w:i w:val="false"/>
          <w:color w:val="000000"/>
          <w:sz w:val="28"/>
        </w:rPr>
        <w:t xml:space="preserve">
      номер свидетельства о включении в реестр владельцев складов временного хранения, если товары находятся на складе временного хранения; </w:t>
      </w:r>
    </w:p>
    <w:bookmarkEnd w:id="11"/>
    <w:bookmarkStart w:name="z20" w:id="12"/>
    <w:p>
      <w:pPr>
        <w:spacing w:after="0"/>
        <w:ind w:left="0"/>
        <w:jc w:val="both"/>
      </w:pPr>
      <w:r>
        <w:rPr>
          <w:rFonts w:ascii="Times New Roman"/>
          <w:b w:val="false"/>
          <w:i w:val="false"/>
          <w:color w:val="000000"/>
          <w:sz w:val="28"/>
        </w:rPr>
        <w:t>
      место нахождения товаров в соответствии с пунктом 12</w:t>
      </w:r>
      <w:r>
        <w:rPr>
          <w:rFonts w:ascii="Times New Roman"/>
          <w:b w:val="false"/>
          <w:i w:val="false"/>
          <w:color w:val="000000"/>
          <w:vertAlign w:val="superscript"/>
        </w:rPr>
        <w:t xml:space="preserve"> </w:t>
      </w:r>
      <w:r>
        <w:rPr>
          <w:rFonts w:ascii="Times New Roman"/>
          <w:b w:val="false"/>
          <w:i w:val="false"/>
          <w:color w:val="000000"/>
          <w:sz w:val="28"/>
        </w:rPr>
        <w:t>настоящего Порядка или наименование железнодорожной станции (если место нахождения товаров расположено на территории железнодорожной станции (на подъездных путях)), или наименование морского (речного) порта (если место нахождения товаров расположено на территории морского (речного) порта), или наименование воздушного пункта пропуска (если место нахождения товаров расположено на территории воздушного пункта пропуска). При этом сведения, предусмотренные абзацем пятым настоящего пункта, в графе не указываются.</w:t>
      </w:r>
    </w:p>
    <w:bookmarkEnd w:id="12"/>
    <w:bookmarkStart w:name="z21" w:id="13"/>
    <w:p>
      <w:pPr>
        <w:spacing w:after="0"/>
        <w:ind w:left="0"/>
        <w:jc w:val="both"/>
      </w:pPr>
      <w:r>
        <w:rPr>
          <w:rFonts w:ascii="Times New Roman"/>
          <w:b w:val="false"/>
          <w:i w:val="false"/>
          <w:color w:val="000000"/>
          <w:sz w:val="28"/>
        </w:rPr>
        <w:t>
      В Республике Армения, Республике Беларусь, Республике Казахстан и Кыргызской Республике графа не заполняется.".</w:t>
      </w:r>
    </w:p>
    <w:bookmarkEnd w:id="1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16 октября 2018 г. № 158</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марта 2023 г. № 37)</w:t>
            </w:r>
          </w:p>
        </w:tc>
      </w:tr>
    </w:tbl>
    <w:bookmarkStart w:name="z23" w:id="14"/>
    <w:p>
      <w:pPr>
        <w:spacing w:after="0"/>
        <w:ind w:left="0"/>
        <w:jc w:val="left"/>
      </w:pPr>
      <w:r>
        <w:rPr>
          <w:rFonts w:ascii="Times New Roman"/>
          <w:b/>
          <w:i w:val="false"/>
          <w:color w:val="000000"/>
        </w:rPr>
        <w:t xml:space="preserve"> ФОРМА</w:t>
      </w:r>
    </w:p>
    <w:bookmarkEnd w:id="14"/>
    <w:bookmarkStart w:name="z24" w:id="15"/>
    <w:p>
      <w:pPr>
        <w:spacing w:after="0"/>
        <w:ind w:left="0"/>
        <w:jc w:val="left"/>
      </w:pPr>
      <w:r>
        <w:rPr>
          <w:rFonts w:ascii="Times New Roman"/>
          <w:b/>
          <w:i w:val="false"/>
          <w:color w:val="000000"/>
        </w:rPr>
        <w:t xml:space="preserve"> пассажирской таможенной декларации для экспресс-грузов</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Пассажирская таможенная декларация для экспресс-грузов</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(по общей накладной)</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(по общей накладной)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товаров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ПТДЭГ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Предшествующий документ</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листов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документах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Общая</w:t>
            </w:r>
          </w:p>
          <w:bookmarkEnd w:id="16"/>
          <w:p>
            <w:pPr>
              <w:spacing w:after="20"/>
              <w:ind w:left="20"/>
              <w:jc w:val="both"/>
            </w:pPr>
            <w:r>
              <w:rPr>
                <w:rFonts w:ascii="Times New Roman"/>
                <w:b w:val="false"/>
                <w:i w:val="false"/>
                <w:color w:val="000000"/>
                <w:sz w:val="20"/>
              </w:rPr>
              <w:t>
накладная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 накладная</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Инд.</w:t>
            </w:r>
          </w:p>
          <w:bookmarkEnd w:id="17"/>
          <w:p>
            <w:pPr>
              <w:spacing w:after="20"/>
              <w:ind w:left="20"/>
              <w:jc w:val="both"/>
            </w:pPr>
            <w:r>
              <w:rPr>
                <w:rFonts w:ascii="Times New Roman"/>
                <w:b w:val="false"/>
                <w:i w:val="false"/>
                <w:color w:val="000000"/>
                <w:sz w:val="20"/>
              </w:rPr>
              <w:t>
отправитель1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Инд.</w:t>
            </w:r>
          </w:p>
          <w:bookmarkEnd w:id="18"/>
          <w:p>
            <w:pPr>
              <w:spacing w:after="20"/>
              <w:ind w:left="20"/>
              <w:jc w:val="both"/>
            </w:pPr>
            <w:r>
              <w:rPr>
                <w:rFonts w:ascii="Times New Roman"/>
                <w:b w:val="false"/>
                <w:i w:val="false"/>
                <w:color w:val="000000"/>
                <w:sz w:val="20"/>
              </w:rPr>
              <w:t>
получатель2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Код</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ТН ВЭД</w:t>
            </w:r>
          </w:p>
          <w:p>
            <w:pPr>
              <w:spacing w:after="20"/>
              <w:ind w:left="20"/>
              <w:jc w:val="both"/>
            </w:pPr>
            <w:r>
              <w:rPr>
                <w:rFonts w:ascii="Times New Roman"/>
                <w:b w:val="false"/>
                <w:i w:val="false"/>
                <w:color w:val="000000"/>
                <w:sz w:val="20"/>
              </w:rPr>
              <w:t>
ЕАЭС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брутто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стоимость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стоимость в валюте государства-члена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Код,</w:t>
            </w:r>
          </w:p>
          <w:bookmarkEnd w:id="20"/>
          <w:p>
            <w:pPr>
              <w:spacing w:after="20"/>
              <w:ind w:left="20"/>
              <w:jc w:val="both"/>
            </w:pPr>
            <w:r>
              <w:rPr>
                <w:rFonts w:ascii="Times New Roman"/>
                <w:b w:val="false"/>
                <w:i w:val="false"/>
                <w:color w:val="000000"/>
                <w:sz w:val="20"/>
              </w:rPr>
              <w:t>
признак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Дата,</w:t>
            </w:r>
          </w:p>
          <w:bookmarkEnd w:id="21"/>
          <w:p>
            <w:pPr>
              <w:spacing w:after="20"/>
              <w:ind w:left="20"/>
              <w:jc w:val="both"/>
            </w:pPr>
            <w:r>
              <w:rPr>
                <w:rFonts w:ascii="Times New Roman"/>
                <w:b w:val="false"/>
                <w:i w:val="false"/>
                <w:color w:val="000000"/>
                <w:sz w:val="20"/>
              </w:rPr>
              <w:t>
номер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стоимость в валюте государства-члена)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стоимость в валюте государства-члена)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стоимость в валюте государства-члена)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индивидуальной накладной (общий вес брутто, стоимость в валюте государства-члена)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w:t>
            </w:r>
            <w:r>
              <w:rPr>
                <w:rFonts w:ascii="Times New Roman"/>
                <w:b/>
                <w:i w:val="false"/>
                <w:color w:val="000000"/>
                <w:sz w:val="20"/>
              </w:rPr>
              <w:t>Всего по пассажирской таможенной декларации для экспресс-грузов</w:t>
            </w:r>
          </w:p>
          <w:bookmarkEnd w:id="22"/>
          <w:p>
            <w:pPr>
              <w:spacing w:after="20"/>
              <w:ind w:left="20"/>
              <w:jc w:val="both"/>
            </w:pPr>
            <w:r>
              <w:rPr>
                <w:rFonts w:ascii="Times New Roman"/>
                <w:b w:val="false"/>
                <w:i w:val="false"/>
                <w:color w:val="000000"/>
                <w:sz w:val="20"/>
              </w:rPr>
              <w:t>
</w:t>
            </w:r>
            <w:r>
              <w:rPr>
                <w:rFonts w:ascii="Times New Roman"/>
                <w:b/>
                <w:i w:val="false"/>
                <w:color w:val="000000"/>
                <w:sz w:val="20"/>
              </w:rPr>
              <w:t>(общий вес брутто, стоимость в валюте государства-члена)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заполнившем ПТДЭГ, дата</w:t>
            </w:r>
          </w:p>
        </w:tc>
      </w:tr>
      <w:tr>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bl>
    <w:p>
      <w:pPr>
        <w:spacing w:after="0"/>
        <w:ind w:left="0"/>
        <w:jc w:val="left"/>
      </w:pPr>
      <w:r>
        <w:br/>
      </w:r>
      <w:r>
        <w:rPr>
          <w:rFonts w:ascii="Times New Roman"/>
          <w:b w:val="false"/>
          <w:i w:val="false"/>
          <w:color w:val="000000"/>
          <w:sz w:val="28"/>
        </w:rPr>
        <w:t>
</w:t>
      </w:r>
    </w:p>
    <w:p>
      <w:pPr>
        <w:spacing w:after="0"/>
        <w:ind w:left="0"/>
        <w:jc w:val="both"/>
      </w:pPr>
      <w:bookmarkStart w:name="z33" w:id="23"/>
      <w:r>
        <w:rPr>
          <w:rFonts w:ascii="Times New Roman"/>
          <w:b w:val="false"/>
          <w:i w:val="false"/>
          <w:color w:val="000000"/>
          <w:sz w:val="28"/>
        </w:rPr>
        <w:t>
      _____________</w:t>
      </w:r>
    </w:p>
    <w:bookmarkEnd w:id="23"/>
    <w:p>
      <w:pPr>
        <w:spacing w:after="0"/>
        <w:ind w:left="0"/>
        <w:jc w:val="both"/>
      </w:pPr>
      <w:r>
        <w:rPr>
          <w:rFonts w:ascii="Times New Roman"/>
          <w:b w:val="false"/>
          <w:i w:val="false"/>
          <w:color w:val="000000"/>
          <w:sz w:val="28"/>
        </w:rPr>
        <w:t xml:space="preserve">       1 Декларант при вывозе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2 Декларант при ввозе товаров на таможенную территорию Евразийского экономического союза.".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