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5529" w14:textId="6365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металлопроката с полимерным покрытием, происходящего из Китайской Народной Республики и ввозимого на таможенную территорию Евразийского экономического союза, и признании утратившим силу Решения Коллегии Евразийской экономической комиссии от 29 ноября 2022 г.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2023 года № 106.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мая 2012 г. № 49,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Продлить по 17 июля 2028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мая 2012 г. № 49, в отношении ввозимого на таможенную территорию Евразийского экономического союза металлопроката с полимерным покрытием, происходящего из Китайской Народной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в размере,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мая 2012 г. № 49;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осуществление зачета сумм антидемпинговой пошлины, уплаченной (взысканной) в соответствии с Решением Коллегии Евразийской экономической комиссии от 29 ноября 2022 г. № 186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ноября 2022 г. № 186 "О продлении действия антидемпинговой меры в отношении металлопроката с полимерным покрытием, происходящего из Китайской Народной Республики и ввозимого на таможенную территорию Евразийского экономического союза".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