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eda3" w14:textId="a70e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20 сентября 2010 г. № 378</w:t>
      </w:r>
    </w:p>
    <w:p>
      <w:pPr>
        <w:spacing w:after="0"/>
        <w:ind w:left="0"/>
        <w:jc w:val="both"/>
      </w:pPr>
      <w:r>
        <w:rPr>
          <w:rFonts w:ascii="Times New Roman"/>
          <w:b w:val="false"/>
          <w:i w:val="false"/>
          <w:color w:val="000000"/>
          <w:sz w:val="28"/>
        </w:rPr>
        <w:t>Решение Коллегии Евразийской экономической комиссии от 22 августа 2023 года № 124.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документов"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за исключением пункта 1, подпункта "г" пункта 3, пунктов 5 и 6 изменений, предусмотренных приложением к настоящему Решению.</w:t>
      </w:r>
    </w:p>
    <w:bookmarkEnd w:id="2"/>
    <w:bookmarkStart w:name="z7" w:id="3"/>
    <w:p>
      <w:pPr>
        <w:spacing w:after="0"/>
        <w:ind w:left="0"/>
        <w:jc w:val="both"/>
      </w:pPr>
      <w:r>
        <w:rPr>
          <w:rFonts w:ascii="Times New Roman"/>
          <w:b w:val="false"/>
          <w:i w:val="false"/>
          <w:color w:val="000000"/>
          <w:sz w:val="28"/>
        </w:rPr>
        <w:t>
      Пункт 1, подпункт "г" пункта 3, пункты 5 и 6 изменений, предусмотренных приложением к настоящему Решению, вступают в силу по истечении 30 календарных дней с даты официального опубликования настоящего Решения, но не ранее 1 апреля 2025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27.09.2023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26.03.2024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августа 2023 г. № 124</w:t>
            </w:r>
          </w:p>
        </w:tc>
      </w:tr>
    </w:tbl>
    <w:bookmarkStart w:name="z10" w:id="4"/>
    <w:p>
      <w:pPr>
        <w:spacing w:after="0"/>
        <w:ind w:left="0"/>
        <w:jc w:val="left"/>
      </w:pPr>
      <w:r>
        <w:rPr>
          <w:rFonts w:ascii="Times New Roman"/>
          <w:b/>
          <w:i w:val="false"/>
          <w:color w:val="000000"/>
        </w:rPr>
        <w:t xml:space="preserve"> ИЗМЕНЕНИЯ,</w:t>
      </w:r>
    </w:p>
    <w:bookmarkEnd w:id="4"/>
    <w:bookmarkStart w:name="z11" w:id="5"/>
    <w:p>
      <w:pPr>
        <w:spacing w:after="0"/>
        <w:ind w:left="0"/>
        <w:jc w:val="left"/>
      </w:pPr>
      <w:r>
        <w:rPr>
          <w:rFonts w:ascii="Times New Roman"/>
          <w:b/>
          <w:i w:val="false"/>
          <w:color w:val="000000"/>
        </w:rPr>
        <w:t xml:space="preserve"> вносимые в Решение Комиссии Таможенного союза от 20 сентября 2010 г. № 378</w:t>
      </w:r>
    </w:p>
    <w:bookmarkEnd w:id="5"/>
    <w:bookmarkStart w:name="z12" w:id="6"/>
    <w:p>
      <w:pPr>
        <w:spacing w:after="0"/>
        <w:ind w:left="0"/>
        <w:jc w:val="both"/>
      </w:pPr>
      <w:r>
        <w:rPr>
          <w:rFonts w:ascii="Times New Roman"/>
          <w:b w:val="false"/>
          <w:i w:val="false"/>
          <w:color w:val="000000"/>
          <w:sz w:val="28"/>
        </w:rPr>
        <w:t>
      1. Дополнить пунктом 2</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w:t>
      </w:r>
    </w:p>
    <w:bookmarkEnd w:id="6"/>
    <w:bookmarkStart w:name="z13" w:id="7"/>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4</w:t>
      </w:r>
      <w:r>
        <w:rPr>
          <w:rFonts w:ascii="Times New Roman"/>
          <w:b w:val="false"/>
          <w:i w:val="false"/>
          <w:color w:val="000000"/>
          <w:sz w:val="28"/>
        </w:rPr>
        <w:t>. Утвердить классификатор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 (Приложение 28).".</w:t>
      </w:r>
    </w:p>
    <w:bookmarkEnd w:id="7"/>
    <w:bookmarkStart w:name="z14" w:id="8"/>
    <w:p>
      <w:pPr>
        <w:spacing w:after="0"/>
        <w:ind w:left="0"/>
        <w:jc w:val="both"/>
      </w:pPr>
      <w:r>
        <w:rPr>
          <w:rFonts w:ascii="Times New Roman"/>
          <w:b w:val="false"/>
          <w:i w:val="false"/>
          <w:color w:val="000000"/>
          <w:sz w:val="28"/>
        </w:rPr>
        <w:t>
      2. Пункт 3.4.2 подраздела 3.4 классификатора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 дополнить позициями следующего содержания: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или под таможенную процедуру свободной таможенной зоны специальной экономической зоны "Qyzyljar"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необработанных драгоценных металлов, лома и отходов драгоценных металлов и сырьевых товаров, содержащих драгоценные металлы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товаров, ввезенных налогоплательщиками, являющимися участниками международного технологического парка "Астана Хаб"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по которым изменен срок уплаты косвенных налогов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сахара-сырца тростникового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химических веществ (сырья) для производства пестицидов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произведений искусства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НДС в отношении импорта товаров в составе готовой продукции, произведенной на территории специальной экономической зоны или свободного склада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r>
    </w:tbl>
    <w:bookmarkStart w:name="z15" w:id="9"/>
    <w:p>
      <w:pPr>
        <w:spacing w:after="0"/>
        <w:ind w:left="0"/>
        <w:jc w:val="both"/>
      </w:pPr>
      <w:r>
        <w:rPr>
          <w:rFonts w:ascii="Times New Roman"/>
          <w:b w:val="false"/>
          <w:i w:val="false"/>
          <w:color w:val="000000"/>
          <w:sz w:val="28"/>
        </w:rPr>
        <w:t>
      3. В классификаторе видов документов и сведений (</w:t>
      </w:r>
      <w:r>
        <w:rPr>
          <w:rFonts w:ascii="Times New Roman"/>
          <w:b w:val="false"/>
          <w:i w:val="false"/>
          <w:color w:val="000000"/>
          <w:sz w:val="28"/>
        </w:rPr>
        <w:t>Приложение 8</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а) в разделе 6:</w:t>
      </w:r>
    </w:p>
    <w:bookmarkEnd w:id="10"/>
    <w:bookmarkStart w:name="z17" w:id="11"/>
    <w:p>
      <w:pPr>
        <w:spacing w:after="0"/>
        <w:ind w:left="0"/>
        <w:jc w:val="both"/>
      </w:pPr>
      <w:r>
        <w:rPr>
          <w:rFonts w:ascii="Times New Roman"/>
          <w:b w:val="false"/>
          <w:i w:val="false"/>
          <w:color w:val="000000"/>
          <w:sz w:val="28"/>
        </w:rPr>
        <w:t>
      наименование изложить в следующей редакции:</w:t>
      </w:r>
    </w:p>
    <w:bookmarkEnd w:id="11"/>
    <w:bookmarkStart w:name="z18" w:id="12"/>
    <w:p>
      <w:pPr>
        <w:spacing w:after="0"/>
        <w:ind w:left="0"/>
        <w:jc w:val="both"/>
      </w:pPr>
      <w:r>
        <w:rPr>
          <w:rFonts w:ascii="Times New Roman"/>
          <w:b w:val="false"/>
          <w:i w:val="false"/>
          <w:color w:val="000000"/>
          <w:sz w:val="28"/>
        </w:rPr>
        <w:t>
      "6. Документы о происхождении товара и иные документы, связанные с происхождением товара";</w:t>
      </w:r>
    </w:p>
    <w:bookmarkEnd w:id="12"/>
    <w:bookmarkStart w:name="z19" w:id="13"/>
    <w:p>
      <w:pPr>
        <w:spacing w:after="0"/>
        <w:ind w:left="0"/>
        <w:jc w:val="both"/>
      </w:pPr>
      <w:r>
        <w:rPr>
          <w:rFonts w:ascii="Times New Roman"/>
          <w:b w:val="false"/>
          <w:i w:val="false"/>
          <w:color w:val="000000"/>
          <w:sz w:val="28"/>
        </w:rPr>
        <w:t>
      в позиции с кодом 06011 слово "товаров" заменить словом "товара";</w:t>
      </w:r>
    </w:p>
    <w:bookmarkEnd w:id="13"/>
    <w:bookmarkStart w:name="z20" w:id="14"/>
    <w:p>
      <w:pPr>
        <w:spacing w:after="0"/>
        <w:ind w:left="0"/>
        <w:jc w:val="both"/>
      </w:pPr>
      <w:r>
        <w:rPr>
          <w:rFonts w:ascii="Times New Roman"/>
          <w:b w:val="false"/>
          <w:i w:val="false"/>
          <w:color w:val="000000"/>
          <w:sz w:val="28"/>
        </w:rPr>
        <w:t>
      позицию с кодом 06013 изложить в следующей редакции:</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происхождении товара формы "А";</w:t>
            </w:r>
          </w:p>
        </w:tc>
      </w:tr>
    </w:tbl>
    <w:bookmarkStart w:name="z21" w:id="15"/>
    <w:p>
      <w:pPr>
        <w:spacing w:after="0"/>
        <w:ind w:left="0"/>
        <w:jc w:val="both"/>
      </w:pPr>
      <w:r>
        <w:rPr>
          <w:rFonts w:ascii="Times New Roman"/>
          <w:b w:val="false"/>
          <w:i w:val="false"/>
          <w:color w:val="000000"/>
          <w:sz w:val="28"/>
        </w:rPr>
        <w:t>
      в позиции с кодом 06014 слова "общей формы" исключить;</w:t>
      </w:r>
    </w:p>
    <w:bookmarkEnd w:id="15"/>
    <w:bookmarkStart w:name="z22" w:id="16"/>
    <w:p>
      <w:pPr>
        <w:spacing w:after="0"/>
        <w:ind w:left="0"/>
        <w:jc w:val="both"/>
      </w:pPr>
      <w:r>
        <w:rPr>
          <w:rFonts w:ascii="Times New Roman"/>
          <w:b w:val="false"/>
          <w:i w:val="false"/>
          <w:color w:val="000000"/>
          <w:sz w:val="28"/>
        </w:rPr>
        <w:t>
      позицию с кодом 06999 изложить в следующей редакции:</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связанные с происхождением товара";</w:t>
            </w:r>
          </w:p>
        </w:tc>
      </w:tr>
    </w:tbl>
    <w:bookmarkStart w:name="z23" w:id="17"/>
    <w:p>
      <w:pPr>
        <w:spacing w:after="0"/>
        <w:ind w:left="0"/>
        <w:jc w:val="both"/>
      </w:pPr>
      <w:r>
        <w:rPr>
          <w:rFonts w:ascii="Times New Roman"/>
          <w:b w:val="false"/>
          <w:i w:val="false"/>
          <w:color w:val="000000"/>
          <w:sz w:val="28"/>
        </w:rPr>
        <w:t>
      б) раздел 7 после позиции с кодом 07018 дополнить позицией следующего содержания:</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обеспечения исполнения обязанности по уплате таможенных пошлин, налогов, специальных, антидемпинговых, компенсационных пошлин";</w:t>
            </w:r>
          </w:p>
        </w:tc>
      </w:tr>
    </w:tbl>
    <w:bookmarkStart w:name="z24" w:id="18"/>
    <w:p>
      <w:pPr>
        <w:spacing w:after="0"/>
        <w:ind w:left="0"/>
        <w:jc w:val="both"/>
      </w:pPr>
      <w:r>
        <w:rPr>
          <w:rFonts w:ascii="Times New Roman"/>
          <w:b w:val="false"/>
          <w:i w:val="false"/>
          <w:color w:val="000000"/>
          <w:sz w:val="28"/>
        </w:rPr>
        <w:t xml:space="preserve">
      в) в разделе 9: </w:t>
      </w:r>
    </w:p>
    <w:bookmarkEnd w:id="18"/>
    <w:bookmarkStart w:name="z25" w:id="19"/>
    <w:p>
      <w:pPr>
        <w:spacing w:after="0"/>
        <w:ind w:left="0"/>
        <w:jc w:val="both"/>
      </w:pPr>
      <w:r>
        <w:rPr>
          <w:rFonts w:ascii="Times New Roman"/>
          <w:b w:val="false"/>
          <w:i w:val="false"/>
          <w:color w:val="000000"/>
          <w:sz w:val="28"/>
        </w:rPr>
        <w:t>
      после позиции с кодом 09043 дополнить позицией следующего содержания:</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в реестр таможенных перевозчиков";</w:t>
            </w:r>
          </w:p>
        </w:tc>
      </w:tr>
    </w:tbl>
    <w:bookmarkStart w:name="z26" w:id="20"/>
    <w:p>
      <w:pPr>
        <w:spacing w:after="0"/>
        <w:ind w:left="0"/>
        <w:jc w:val="both"/>
      </w:pPr>
      <w:r>
        <w:rPr>
          <w:rFonts w:ascii="Times New Roman"/>
          <w:b w:val="false"/>
          <w:i w:val="false"/>
          <w:color w:val="000000"/>
          <w:sz w:val="28"/>
        </w:rPr>
        <w:t>
      после позиции с кодом 09051 дополнить позициями следующего содержания:</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о внесении изменений (дополнений) в таможенные документы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в котором исчислены суммы таможенных пошлин, налогов, уплаченных при ввозе в государство – член Евразийского экономического союза, присоединившееся к Евразийскому экономическому союзу, автомобилей легковых и прочих моторных транспортных средств, классифицируемых в товарных позициях 8702 и 8703, субпозициях 8704 21 и 8704 31 ТН ВЭД ЕАЭС, по ставкам, применяемым этим государством в соответствии с международным договором о присоединении к Евразийскому экономическому союзу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или иной таможенный документ, заполненный в отношении автомобилей легковых и прочих моторных транспортных средств, классифицируемых в товарных позициях 8702 и 8703, субпозициях 8704 21 и 8704 31 ТН ВЭД ЕАЭС, в целях исчисления и уплаты таможенных пошлин, налогов в размере разницы сумм, уплаченных при ввозе указанных транспортных средств в государство – член Евразийского экономического союза, присоединившееся к Евразийскому экономическому союзу, по ставкам, применяемым этим государством в соответствии с международным договором о присоединении к Евразийскому экономическому союзу, и сумм, подлежащих уплате по ставкам, установленным в соответствии с Таможенным кодексом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приходный ордер (за исключением документов, указанных в позициях с кодами 09054 и 09055)";</w:t>
            </w:r>
          </w:p>
        </w:tc>
      </w:tr>
    </w:tbl>
    <w:bookmarkStart w:name="z27" w:id="21"/>
    <w:p>
      <w:pPr>
        <w:spacing w:after="0"/>
        <w:ind w:left="0"/>
        <w:jc w:val="both"/>
      </w:pPr>
      <w:r>
        <w:rPr>
          <w:rFonts w:ascii="Times New Roman"/>
          <w:b w:val="false"/>
          <w:i w:val="false"/>
          <w:color w:val="000000"/>
          <w:sz w:val="28"/>
        </w:rPr>
        <w:t>
      г) раздел 10 после позиции с кодом 10052 дополнить позициями следующего содержания:</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таможенного органа в соответствии с классификатором таможенных органов государств – членов Евразийского экономического союза, в регионе деятельности которого товары будут храниться на таможенном складе либо в местах, не являющихся таможенными складами, в случаях,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 (для 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открытого типа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таможенных складов (номер свидетельства о включении юридического лица в реестр владельцев таможенных складов), или регистрационный номер юридического лица в реестре владельцев таможенных складов, или регистрационный номер сведений о включении юридического лица в реестр владельцев таможенных складов для таможенных складов закрытого типа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документа, разрешающего хранение товаров в местах, не являющихся таможенными складами, а в случае, если в соответствии с законодательством государств – членов Евразийского экономического союза ведется учет зон таможенного контроля, – номер зоны таможенного контроля (регистрационный номер зоны таможенного контроля), где будет осуществляться хранение товаров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155 Таможенного кодекса Евразийского экономического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подтверждающего включение юридического лица в реестр владельцев магазинов беспошлинной торговли (номер свидетельства о включении юридического лица в реестр владельцев магазинов беспошлинной торговли), или регистрационный номер юридического лица в реестре владельцев магазинов беспошлинной торговли, или регистрационный номер сведений о включении юридического лица в реестр владельцев магазинов беспошлинной торговли".</w:t>
            </w:r>
          </w:p>
        </w:tc>
      </w:tr>
    </w:tbl>
    <w:bookmarkStart w:name="z28" w:id="22"/>
    <w:p>
      <w:pPr>
        <w:spacing w:after="0"/>
        <w:ind w:left="0"/>
        <w:jc w:val="both"/>
      </w:pPr>
      <w:r>
        <w:rPr>
          <w:rFonts w:ascii="Times New Roman"/>
          <w:b w:val="false"/>
          <w:i w:val="false"/>
          <w:color w:val="000000"/>
          <w:sz w:val="28"/>
        </w:rPr>
        <w:t>
      4. Подраздел 6.3 классификатора видов налогов, сборов и иных платежей, взимание которых возложено на таможенные органы (</w:t>
      </w:r>
      <w:r>
        <w:rPr>
          <w:rFonts w:ascii="Times New Roman"/>
          <w:b w:val="false"/>
          <w:i w:val="false"/>
          <w:color w:val="000000"/>
          <w:sz w:val="28"/>
        </w:rPr>
        <w:t>Приложение 9</w:t>
      </w:r>
      <w:r>
        <w:rPr>
          <w:rFonts w:ascii="Times New Roman"/>
          <w:b w:val="false"/>
          <w:i w:val="false"/>
          <w:color w:val="000000"/>
          <w:sz w:val="28"/>
        </w:rPr>
        <w:t>), после позиции с кодом 4270 дополнить позицией следующего содержания:</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на воды, включая минеральные и газированные, содержащие добавки сахара или других подслащивающих или вкусоароматических веществ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bl>
    <w:bookmarkStart w:name="z29" w:id="23"/>
    <w:p>
      <w:pPr>
        <w:spacing w:after="0"/>
        <w:ind w:left="0"/>
        <w:jc w:val="both"/>
      </w:pPr>
      <w:r>
        <w:rPr>
          <w:rFonts w:ascii="Times New Roman"/>
          <w:b w:val="false"/>
          <w:i w:val="false"/>
          <w:color w:val="000000"/>
          <w:sz w:val="28"/>
        </w:rPr>
        <w:t>
      5. Классификатор мер обеспечения соблюдения таможенного транзита (</w:t>
      </w:r>
      <w:r>
        <w:rPr>
          <w:rFonts w:ascii="Times New Roman"/>
          <w:b w:val="false"/>
          <w:i w:val="false"/>
          <w:color w:val="000000"/>
          <w:sz w:val="28"/>
        </w:rPr>
        <w:t>Приложение 18</w:t>
      </w:r>
      <w:r>
        <w:rPr>
          <w:rFonts w:ascii="Times New Roman"/>
          <w:b w:val="false"/>
          <w:i w:val="false"/>
          <w:color w:val="000000"/>
          <w:sz w:val="28"/>
        </w:rPr>
        <w:t>) признать утратившим силу.</w:t>
      </w:r>
    </w:p>
    <w:bookmarkEnd w:id="23"/>
    <w:bookmarkStart w:name="z30" w:id="24"/>
    <w:p>
      <w:pPr>
        <w:spacing w:after="0"/>
        <w:ind w:left="0"/>
        <w:jc w:val="both"/>
      </w:pPr>
      <w:r>
        <w:rPr>
          <w:rFonts w:ascii="Times New Roman"/>
          <w:b w:val="false"/>
          <w:i w:val="false"/>
          <w:color w:val="000000"/>
          <w:sz w:val="28"/>
        </w:rPr>
        <w:t xml:space="preserve">
      6. Дополнить Приложением 28 следующего содержания: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28</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20 сентября 2010 г. № 378</w:t>
            </w:r>
          </w:p>
        </w:tc>
      </w:tr>
    </w:tbl>
    <w:bookmarkStart w:name="z32" w:id="25"/>
    <w:p>
      <w:pPr>
        <w:spacing w:after="0"/>
        <w:ind w:left="0"/>
        <w:jc w:val="left"/>
      </w:pPr>
      <w:r>
        <w:rPr>
          <w:rFonts w:ascii="Times New Roman"/>
          <w:b/>
          <w:i w:val="false"/>
          <w:color w:val="000000"/>
        </w:rPr>
        <w:t xml:space="preserve"> КЛАССИФИКАТОР</w:t>
      </w:r>
    </w:p>
    <w:bookmarkEnd w:id="25"/>
    <w:bookmarkStart w:name="z33" w:id="26"/>
    <w:p>
      <w:pPr>
        <w:spacing w:after="0"/>
        <w:ind w:left="0"/>
        <w:jc w:val="left"/>
      </w:pPr>
      <w:r>
        <w:rPr>
          <w:rFonts w:ascii="Times New Roman"/>
          <w:b/>
          <w:i w:val="false"/>
          <w:color w:val="000000"/>
        </w:rPr>
        <w:t xml:space="preserve">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1 статьи 143 Таможенного кодекса Евразийского экономического союза, в совокупности не превышают суммы, эквивалентной 500 евро по курсу валют, действующему на день регистрации транзитной декларации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таможенный перевозчик, осуществляющий перевозку (транспортировку) декларируемых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помещаемых под таможенную процедуру таможенного транзита,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железнодорожным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перевозятся воздушным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товары, помещаемые под таможенную процедуру таможенного транзита, перевозятся водными судами, в том числе судами смешанного (река – 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декларанта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отсутствует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а также, если это предусмотрено законодательством государства – члена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отсутствуют не уплаченные в установленный срок административные штрафы, назначенные на основании вступивших в законную силу решений суда или уполномоченного органа (должностного лица) о привлечении к административной ответственности по делам об административных правонарушениях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Таможенным органом принято решение о применении таможенного сопровождения в отношении товаров, помещаемых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помещаемые под таможенную процедуру таможенного транзита,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Евразийской экономической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Евразийской экономической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Таможенное декларирование товаров, помещаемых под таможенную процедуру таможенного транзита и перевозимых автомобильным транспортом, осуществлено с особенностями, определенными </w:t>
            </w:r>
            <w:r>
              <w:rPr>
                <w:rFonts w:ascii="Times New Roman"/>
                <w:b w:val="false"/>
                <w:i w:val="false"/>
                <w:color w:val="000000"/>
                <w:sz w:val="20"/>
              </w:rPr>
              <w:t>статьей 114</w:t>
            </w:r>
            <w:r>
              <w:rPr>
                <w:rFonts w:ascii="Times New Roman"/>
                <w:b w:val="false"/>
                <w:i w:val="false"/>
                <w:color w:val="000000"/>
                <w:sz w:val="20"/>
              </w:rPr>
              <w:t xml:space="preserve"> Таможенного кодекса Евразийского экономического союза,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если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Декларантом международных почтовых отправлений при их помещении под таможенную процедуру таможенного транзита выступает назначенный оператор почтовой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почтовые отправления, помещаемые под таможенную процедуру таможенного транзита, подлежат доставке в место (учреждение) международного почтового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государство – член Евразийского экономического союза либо получившими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признание либо такой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при условии представления документов, подтверждающих такое намерение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личного пользования, указанные в подпункте 3 пункта 1 статьи 263 Таможенного кодекса Евразийского экономического союза, помещаемые под таможенную процедуру таможенного транзита в соответствии со статьей 263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для личного пользования, указанные в </w:t>
            </w:r>
            <w:r>
              <w:rPr>
                <w:rFonts w:ascii="Times New Roman"/>
                <w:b w:val="false"/>
                <w:i w:val="false"/>
                <w:color w:val="000000"/>
                <w:sz w:val="20"/>
              </w:rPr>
              <w:t>подпункте 5</w:t>
            </w:r>
            <w:r>
              <w:rPr>
                <w:rFonts w:ascii="Times New Roman"/>
                <w:b w:val="false"/>
                <w:i w:val="false"/>
                <w:color w:val="000000"/>
                <w:sz w:val="20"/>
              </w:rPr>
              <w:t xml:space="preserve"> пункта 1 статьи 263 Таможенного кодекса Евразийского экономического союза, помещаемые под таможенную процедуру таможенного транзита в соответствии со </w:t>
            </w:r>
            <w:r>
              <w:rPr>
                <w:rFonts w:ascii="Times New Roman"/>
                <w:b w:val="false"/>
                <w:i w:val="false"/>
                <w:color w:val="000000"/>
                <w:sz w:val="20"/>
              </w:rPr>
              <w:t>статьей 263</w:t>
            </w:r>
            <w:r>
              <w:rPr>
                <w:rFonts w:ascii="Times New Roman"/>
                <w:b w:val="false"/>
                <w:i w:val="false"/>
                <w:color w:val="000000"/>
                <w:sz w:val="20"/>
              </w:rPr>
              <w:t xml:space="preserve"> Таможенного кодекса Евразийского экономического союза,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помещаются под таможенную процедуру таможенного транзита, если перевозка (транспортировка) товаров осуществляется по территории этого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в отношении товаров, помещаемых под таможенную процедуру таможенного транзита, предусмотренные международными договорами в рамках Евразийского экономического союза и (или) международными договорами государств – членов Евразийского экономического союза с третьей стороной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законодательством государства – члена Евразийского экономического союза, в котором товары для личного пользования помещаются под таможенную процедуру таможенного транзита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Случаи непредоставления обеспечения исполнения обязанности по уплате таможенных пошлин, налогов, специальных, антидемпинговых, компенсационных пошлин, установленные Евразийской экономической комиссией в соответствии с абзацем третьим </w:t>
            </w:r>
            <w:r>
              <w:rPr>
                <w:rFonts w:ascii="Times New Roman"/>
                <w:b w:val="false"/>
                <w:i w:val="false"/>
                <w:color w:val="000000"/>
                <w:sz w:val="20"/>
              </w:rPr>
              <w:t>подпункта 1</w:t>
            </w:r>
            <w:r>
              <w:rPr>
                <w:rFonts w:ascii="Times New Roman"/>
                <w:b w:val="false"/>
                <w:i w:val="false"/>
                <w:color w:val="000000"/>
                <w:sz w:val="20"/>
              </w:rPr>
              <w:t xml:space="preserve"> пункта 1 статьи 304 Таможенного кодекса Евразийского экономического союза".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