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8c2e" w14:textId="1a08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21 ноября 2023 года № 164.</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 Протокол) и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наличии нарушения общих правил конкуренции на трансграничных рынках по делу о нарушении общих правил конкуренции на трансграничных рынках услуг по предоставлению прав на объекты интеллектуальной собственности третьим лицам, а также услуг по организации отдыха и развлечений (кальянные заведения) с использованием товарного знака (знака обслуживания)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 сфере конкуренции, входящих в право Евразийского экономического союза,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p>
    <w:bookmarkEnd w:id="1"/>
    <w:bookmarkStart w:name="z6" w:id="2"/>
    <w:p>
      <w:pPr>
        <w:spacing w:after="0"/>
        <w:ind w:left="0"/>
        <w:jc w:val="both"/>
      </w:pPr>
      <w:r>
        <w:rPr>
          <w:rFonts w:ascii="Times New Roman"/>
          <w:b w:val="false"/>
          <w:i w:val="false"/>
          <w:color w:val="000000"/>
          <w:sz w:val="28"/>
        </w:rPr>
        <w:t>
      1. Признать отсутствие оснований для прекращения рассмотрения дела.</w:t>
      </w:r>
    </w:p>
    <w:bookmarkEnd w:id="2"/>
    <w:bookmarkStart w:name="z7" w:id="3"/>
    <w:p>
      <w:pPr>
        <w:spacing w:after="0"/>
        <w:ind w:left="0"/>
        <w:jc w:val="both"/>
      </w:pPr>
      <w:r>
        <w:rPr>
          <w:rFonts w:ascii="Times New Roman"/>
          <w:b w:val="false"/>
          <w:i w:val="false"/>
          <w:color w:val="000000"/>
          <w:sz w:val="28"/>
        </w:rPr>
        <w:t xml:space="preserve">
      2. Признать общество с ограниченной ответственностью "Брютс Н" (Республика Беларусь, г. Минск, ул. Интернациональная, д. 27, РГ 192356072, дата регистрации – 8 октября 2014 г., УНП 192356072) (далее – ООО "Брютс Н"), а также генерального директора ООО "Брютс Н" Григоряна Т.Г. нарушившими в период с 2 апреля 2018 г. по 14 июня 2023 г. положения подпункта 2 пункта 2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w:t>
      </w:r>
    </w:p>
    <w:bookmarkEnd w:id="3"/>
    <w:bookmarkStart w:name="z8" w:id="4"/>
    <w:p>
      <w:pPr>
        <w:spacing w:after="0"/>
        <w:ind w:left="0"/>
        <w:jc w:val="both"/>
      </w:pPr>
      <w:r>
        <w:rPr>
          <w:rFonts w:ascii="Times New Roman"/>
          <w:b w:val="false"/>
          <w:i w:val="false"/>
          <w:color w:val="000000"/>
          <w:sz w:val="28"/>
        </w:rPr>
        <w:t xml:space="preserve">
      3. В соответствии с подпунктом 1 пункта 16 Протокола и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назначить следующие штрафы:</w:t>
      </w:r>
    </w:p>
    <w:bookmarkEnd w:id="4"/>
    <w:bookmarkStart w:name="z9" w:id="5"/>
    <w:p>
      <w:pPr>
        <w:spacing w:after="0"/>
        <w:ind w:left="0"/>
        <w:jc w:val="both"/>
      </w:pPr>
      <w:r>
        <w:rPr>
          <w:rFonts w:ascii="Times New Roman"/>
          <w:b w:val="false"/>
          <w:i w:val="false"/>
          <w:color w:val="000000"/>
          <w:sz w:val="28"/>
        </w:rPr>
        <w:t>
      ООО "Брютс Н" – в размере 662 500 российских рублей;</w:t>
      </w:r>
    </w:p>
    <w:bookmarkEnd w:id="5"/>
    <w:bookmarkStart w:name="z10" w:id="6"/>
    <w:p>
      <w:pPr>
        <w:spacing w:after="0"/>
        <w:ind w:left="0"/>
        <w:jc w:val="both"/>
      </w:pPr>
      <w:r>
        <w:rPr>
          <w:rFonts w:ascii="Times New Roman"/>
          <w:b w:val="false"/>
          <w:i w:val="false"/>
          <w:color w:val="000000"/>
          <w:sz w:val="28"/>
        </w:rPr>
        <w:t>
      Григоряну Т.Г. – в размере 76 250 российских рублей.</w:t>
      </w:r>
    </w:p>
    <w:bookmarkEnd w:id="6"/>
    <w:bookmarkStart w:name="z11" w:id="7"/>
    <w:p>
      <w:pPr>
        <w:spacing w:after="0"/>
        <w:ind w:left="0"/>
        <w:jc w:val="both"/>
      </w:pPr>
      <w:r>
        <w:rPr>
          <w:rFonts w:ascii="Times New Roman"/>
          <w:b w:val="false"/>
          <w:i w:val="false"/>
          <w:color w:val="000000"/>
          <w:sz w:val="28"/>
        </w:rPr>
        <w:t>
      Штрафы, назначенные настоящим Решением, подлежат уплате в порядке, установленном пунктами 17 и 18 Протокола (банковские реквизиты для уплаты штрафов: Министерство финансов Республики Беларусь, УНП 100691903, Национальный банк Республики Беларусь, БИК NBRBBY2X, номер счета BY54 NBRB 3600 9000 0000 2000 0000, код платежа в бюджет 05528).</w:t>
      </w:r>
    </w:p>
    <w:bookmarkEnd w:id="7"/>
    <w:bookmarkStart w:name="z12" w:id="8"/>
    <w:p>
      <w:pPr>
        <w:spacing w:after="0"/>
        <w:ind w:left="0"/>
        <w:jc w:val="both"/>
      </w:pPr>
      <w:r>
        <w:rPr>
          <w:rFonts w:ascii="Times New Roman"/>
          <w:b w:val="false"/>
          <w:i w:val="false"/>
          <w:color w:val="000000"/>
          <w:sz w:val="28"/>
        </w:rPr>
        <w:t>
      4. Обязать ООО "Брютс Н" прекратить и не совершать в дальнейшем действия, которые могут вводить в заблуждение потребителей в отношении производителя услуг по предоставлению прав на объекты интеллектуальной собственности третьим лицам, а также услуг по организации отдыха и развлечений (кальянные заведения) с использованием товарного знака (знака обслуживания).</w:t>
      </w:r>
    </w:p>
    <w:bookmarkEnd w:id="8"/>
    <w:bookmarkStart w:name="z13" w:id="9"/>
    <w:p>
      <w:pPr>
        <w:spacing w:after="0"/>
        <w:ind w:left="0"/>
        <w:jc w:val="both"/>
      </w:pPr>
      <w:r>
        <w:rPr>
          <w:rFonts w:ascii="Times New Roman"/>
          <w:b w:val="false"/>
          <w:i w:val="false"/>
          <w:color w:val="000000"/>
          <w:sz w:val="28"/>
        </w:rPr>
        <w:t>
      5. Комиссии проинформировать лиц, указанных в пункте 2 настоящего Решения, о необходимости:</w:t>
      </w:r>
    </w:p>
    <w:bookmarkEnd w:id="9"/>
    <w:bookmarkStart w:name="z14" w:id="10"/>
    <w:p>
      <w:pPr>
        <w:spacing w:after="0"/>
        <w:ind w:left="0"/>
        <w:jc w:val="both"/>
      </w:pPr>
      <w:r>
        <w:rPr>
          <w:rFonts w:ascii="Times New Roman"/>
          <w:b w:val="false"/>
          <w:i w:val="false"/>
          <w:color w:val="000000"/>
          <w:sz w:val="28"/>
        </w:rPr>
        <w:t xml:space="preserve">
      а) в соответствии с абзацем вторым </w:t>
      </w:r>
      <w:r>
        <w:rPr>
          <w:rFonts w:ascii="Times New Roman"/>
          <w:b w:val="false"/>
          <w:i w:val="false"/>
          <w:color w:val="000000"/>
          <w:sz w:val="28"/>
        </w:rPr>
        <w:t>пункта 17</w:t>
      </w:r>
      <w:r>
        <w:rPr>
          <w:rFonts w:ascii="Times New Roman"/>
          <w:b w:val="false"/>
          <w:i w:val="false"/>
          <w:color w:val="000000"/>
          <w:sz w:val="28"/>
        </w:rPr>
        <w:t xml:space="preserve"> Методики расчета и порядка наложения штрафов уплатить штрафы, предусмотренные пунктом 16 Протокола, в полном размере не позднее 60 календарных дней с даты вступления настоящего Решения в силу. В случае неуплаты штрафов в указанный срок Комиссия принимает меры, направленные на принудительное исполнение настоящего Решения,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расчета и порядка наложения штрафов;</w:t>
      </w:r>
    </w:p>
    <w:bookmarkEnd w:id="10"/>
    <w:bookmarkStart w:name="z15" w:id="11"/>
    <w:p>
      <w:pPr>
        <w:spacing w:after="0"/>
        <w:ind w:left="0"/>
        <w:jc w:val="both"/>
      </w:pPr>
      <w:r>
        <w:rPr>
          <w:rFonts w:ascii="Times New Roman"/>
          <w:b w:val="false"/>
          <w:i w:val="false"/>
          <w:color w:val="000000"/>
          <w:sz w:val="28"/>
        </w:rPr>
        <w:t>
      б) в соответствии с пунктом 45 Порядка рассмотрения дел о нарушении общих правил конкуренции на трансграничных рынках уведомить Комиссию об уплате штрафов, указанных в пункте 3 настоящего Решения, в течение 30 календарных дней с даты истечения срока, предусмотренного подпунктом "а" настоящего пункта.</w:t>
      </w:r>
    </w:p>
    <w:bookmarkEnd w:id="11"/>
    <w:bookmarkStart w:name="z16" w:id="12"/>
    <w:p>
      <w:pPr>
        <w:spacing w:after="0"/>
        <w:ind w:left="0"/>
        <w:jc w:val="both"/>
      </w:pPr>
      <w:r>
        <w:rPr>
          <w:rFonts w:ascii="Times New Roman"/>
          <w:b w:val="false"/>
          <w:i w:val="false"/>
          <w:color w:val="000000"/>
          <w:sz w:val="28"/>
        </w:rPr>
        <w:t>
      6. Настоящее Решение может быть обжаловано в установленном порядке в Суд Евразийского экономического союза.</w:t>
      </w:r>
    </w:p>
    <w:bookmarkEnd w:id="12"/>
    <w:bookmarkStart w:name="z17" w:id="13"/>
    <w:p>
      <w:pPr>
        <w:spacing w:after="0"/>
        <w:ind w:left="0"/>
        <w:jc w:val="both"/>
      </w:pPr>
      <w:r>
        <w:rPr>
          <w:rFonts w:ascii="Times New Roman"/>
          <w:b w:val="false"/>
          <w:i w:val="false"/>
          <w:color w:val="000000"/>
          <w:sz w:val="28"/>
        </w:rPr>
        <w:t>
      7. Настоящее Решение вступает в силу по истечении 30 календарных дней с даты его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21 ноября 2023 г. № 164135 </w:t>
            </w:r>
          </w:p>
        </w:tc>
      </w:tr>
    </w:tbl>
    <w:bookmarkStart w:name="z20" w:id="14"/>
    <w:p>
      <w:pPr>
        <w:spacing w:after="0"/>
        <w:ind w:left="0"/>
        <w:jc w:val="left"/>
      </w:pPr>
      <w:r>
        <w:rPr>
          <w:rFonts w:ascii="Times New Roman"/>
          <w:b/>
          <w:i w:val="false"/>
          <w:color w:val="000000"/>
        </w:rPr>
        <w:t xml:space="preserve"> ОПИСАТЕЛЬНАЯ И МОТИВИРОВОЧНАЯ ЧАСТИ</w:t>
      </w:r>
    </w:p>
    <w:bookmarkEnd w:id="14"/>
    <w:bookmarkStart w:name="z21" w:id="15"/>
    <w:p>
      <w:pPr>
        <w:spacing w:after="0"/>
        <w:ind w:left="0"/>
        <w:jc w:val="left"/>
      </w:pPr>
      <w:r>
        <w:rPr>
          <w:rFonts w:ascii="Times New Roman"/>
          <w:b/>
          <w:i w:val="false"/>
          <w:color w:val="000000"/>
        </w:rPr>
        <w:t xml:space="preserve"> Решения Коллегии Евразийской экономической комиссии </w:t>
      </w:r>
      <w:r>
        <w:br/>
      </w:r>
      <w:r>
        <w:rPr>
          <w:rFonts w:ascii="Times New Roman"/>
          <w:b/>
          <w:i w:val="false"/>
          <w:color w:val="000000"/>
        </w:rPr>
        <w:t>от 21 ноября 2023 г. № 164</w:t>
      </w:r>
    </w:p>
    <w:bookmarkEnd w:id="15"/>
    <w:bookmarkStart w:name="z22" w:id="16"/>
    <w:p>
      <w:pPr>
        <w:spacing w:after="0"/>
        <w:ind w:left="0"/>
        <w:jc w:val="both"/>
      </w:pPr>
      <w:r>
        <w:rPr>
          <w:rFonts w:ascii="Times New Roman"/>
          <w:b w:val="false"/>
          <w:i w:val="false"/>
          <w:color w:val="000000"/>
          <w:sz w:val="28"/>
        </w:rPr>
        <w:t xml:space="preserve">
      В Евразийскую экономическую комиссию (далее – Комиссия) письмом от 28 июля 2021 г. б/н (вх. № 13840 от 28 июля 2021 г.) поступило заявление общества с ограниченной ответственностью "Стадион" (Российская Федерация, г. Москва, ул. Авиамоторная, д. 73а, стр. 15, эт. 2, каб. 12, ОГРН 1117746397801, дата регистрации 23 мая 2011 г., ИНН 7701919620) (далее – ООО "Стадион") и общества с ограниченной ответственностью "ХУКАПЛЕЙС" (Российская Федерация, г. Москва, пер. Переведеновский, д. 18, стр. 12, пом. 1, ОГРН 1177746534800, дата регистрации 30 мая 2017 г., ИНН 9701077463) (далее – ООО "ХУКАПЛЕЙС") (далее – заявители) о наличии возможных признаков нарушения положений пункта 2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 (далее – Договор) и необходимости пресечения такого нарушения (далее – заявление).</w:t>
      </w:r>
    </w:p>
    <w:bookmarkEnd w:id="16"/>
    <w:bookmarkStart w:name="z23"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и Порядком рассмотрения заявлений (материалов) о нарушении общих правил конкуренции на трансграничных рынках, утвержденным Решением Совета Евразийской экономической комиссии от 23 ноября 2012 г. № 97, в связи с отсутствием случаев, установленных в пункте 13</w:t>
      </w:r>
      <w:r>
        <w:rPr>
          <w:rFonts w:ascii="Times New Roman"/>
          <w:b w:val="false"/>
          <w:i w:val="false"/>
          <w:color w:val="000000"/>
          <w:vertAlign w:val="superscript"/>
        </w:rPr>
        <w:t>2</w:t>
      </w:r>
      <w:r>
        <w:rPr>
          <w:rFonts w:ascii="Times New Roman"/>
          <w:b w:val="false"/>
          <w:i w:val="false"/>
          <w:color w:val="000000"/>
          <w:sz w:val="28"/>
        </w:rPr>
        <w:t xml:space="preserve">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рассмотрение заявления было приостановлено с 15 сентября 2021 г. на период разработки, выдачи и исполнения предупреждения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w:t>
      </w:r>
    </w:p>
    <w:bookmarkEnd w:id="17"/>
    <w:bookmarkStart w:name="z24" w:id="18"/>
    <w:p>
      <w:pPr>
        <w:spacing w:after="0"/>
        <w:ind w:left="0"/>
        <w:jc w:val="both"/>
      </w:pPr>
      <w:r>
        <w:rPr>
          <w:rFonts w:ascii="Times New Roman"/>
          <w:b w:val="false"/>
          <w:i w:val="false"/>
          <w:color w:val="000000"/>
          <w:sz w:val="28"/>
        </w:rPr>
        <w:t>
      2 марта 2022 г. Комиссия вынесла обществу с ограниченной ответственностью "Брютс Н" (Республика Беларусь, г. Минск, ул. Интернациональная, д. 27, РН 192356072, дата регистрации – 8 октября 2014 г., УНП 192356072) (далее – ООО "Брютс Н") предупреждение № 5-предупр о пресечении действий, которые приводят или могут привести к недопущению, ограничению, устранению конкуренции на трансграничных рынках.</w:t>
      </w:r>
    </w:p>
    <w:bookmarkEnd w:id="18"/>
    <w:bookmarkStart w:name="z25" w:id="19"/>
    <w:p>
      <w:pPr>
        <w:spacing w:after="0"/>
        <w:ind w:left="0"/>
        <w:jc w:val="both"/>
      </w:pPr>
      <w:r>
        <w:rPr>
          <w:rFonts w:ascii="Times New Roman"/>
          <w:b w:val="false"/>
          <w:i w:val="false"/>
          <w:color w:val="000000"/>
          <w:sz w:val="28"/>
        </w:rPr>
        <w:t>
      В связи с неисполнением ООО "Брютс Н" мер, предусмотренных указанным предупреждением, определением от 6 июня 2022 г. № 27/опр рассмотрение заявления было возобновлено.</w:t>
      </w:r>
    </w:p>
    <w:bookmarkEnd w:id="19"/>
    <w:bookmarkStart w:name="z26" w:id="20"/>
    <w:p>
      <w:pPr>
        <w:spacing w:after="0"/>
        <w:ind w:left="0"/>
        <w:jc w:val="both"/>
      </w:pPr>
      <w:r>
        <w:rPr>
          <w:rFonts w:ascii="Times New Roman"/>
          <w:b w:val="false"/>
          <w:i w:val="false"/>
          <w:color w:val="000000"/>
          <w:sz w:val="28"/>
        </w:rPr>
        <w:t>
      По результатам рассмотрения заявления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подпунктом 4 пункта 10 и пунктом 12 Протокола, а также пунктом 1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6 июня 2022 г. № 27/опр (далее – расследование) и провела соответствующее расследование в отношении ООО "Брютс Н".</w:t>
      </w:r>
    </w:p>
    <w:bookmarkEnd w:id="20"/>
    <w:bookmarkStart w:name="z27" w:id="21"/>
    <w:p>
      <w:pPr>
        <w:spacing w:after="0"/>
        <w:ind w:left="0"/>
        <w:jc w:val="both"/>
      </w:pPr>
      <w:r>
        <w:rPr>
          <w:rFonts w:ascii="Times New Roman"/>
          <w:b w:val="false"/>
          <w:i w:val="false"/>
          <w:color w:val="000000"/>
          <w:sz w:val="28"/>
        </w:rPr>
        <w:t>
      3 октября 2022 г. определением № 60/опр Комиссией по результатам проведения расследования возбуждено дело о нарушении общих правил конкуренции на трансграничных рынках (далее – дело) и назначена комиссия по его рассмотрению в следующем составе:</w:t>
      </w:r>
    </w:p>
    <w:bookmarkEnd w:id="21"/>
    <w:bookmarkStart w:name="z28" w:id="22"/>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22"/>
    <w:bookmarkStart w:name="z29" w:id="23"/>
    <w:p>
      <w:pPr>
        <w:spacing w:after="0"/>
        <w:ind w:left="0"/>
        <w:jc w:val="both"/>
      </w:pPr>
      <w:r>
        <w:rPr>
          <w:rFonts w:ascii="Times New Roman"/>
          <w:b w:val="false"/>
          <w:i w:val="false"/>
          <w:color w:val="000000"/>
          <w:sz w:val="28"/>
        </w:rPr>
        <w:t>
      заместитель председателя комиссии по рассмотрению дела Калиев А.А.;</w:t>
      </w:r>
    </w:p>
    <w:bookmarkEnd w:id="23"/>
    <w:bookmarkStart w:name="z30" w:id="24"/>
    <w:p>
      <w:pPr>
        <w:spacing w:after="0"/>
        <w:ind w:left="0"/>
        <w:jc w:val="both"/>
      </w:pPr>
      <w:r>
        <w:rPr>
          <w:rFonts w:ascii="Times New Roman"/>
          <w:b w:val="false"/>
          <w:i w:val="false"/>
          <w:color w:val="000000"/>
          <w:sz w:val="28"/>
        </w:rPr>
        <w:t xml:space="preserve">
      члены комиссии по рассмотрению дела: Королькова О.С., Малясова Ю.С., Мелкоедова П.Б. и Абдылдаева А.Б. </w:t>
      </w:r>
    </w:p>
    <w:bookmarkEnd w:id="24"/>
    <w:bookmarkStart w:name="z31" w:id="25"/>
    <w:p>
      <w:pPr>
        <w:spacing w:after="0"/>
        <w:ind w:left="0"/>
        <w:jc w:val="both"/>
      </w:pPr>
      <w:r>
        <w:rPr>
          <w:rFonts w:ascii="Times New Roman"/>
          <w:b w:val="false"/>
          <w:i w:val="false"/>
          <w:color w:val="000000"/>
          <w:sz w:val="28"/>
        </w:rPr>
        <w:t xml:space="preserve">
      Лица, участвовавшие в рассмотрении дела: </w:t>
      </w:r>
    </w:p>
    <w:bookmarkEnd w:id="25"/>
    <w:bookmarkStart w:name="z32" w:id="26"/>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(далее – уполномоченные органы): Жантаев Ч.Г., Сагдат Ж.Б., Ташматов У.А., Шемякина А.А., Залевская А.А., Новик А.В. и Склярова Я.В.;</w:t>
      </w:r>
    </w:p>
    <w:bookmarkEnd w:id="26"/>
    <w:bookmarkStart w:name="z33" w:id="27"/>
    <w:p>
      <w:pPr>
        <w:spacing w:after="0"/>
        <w:ind w:left="0"/>
        <w:jc w:val="both"/>
      </w:pPr>
      <w:r>
        <w:rPr>
          <w:rFonts w:ascii="Times New Roman"/>
          <w:b w:val="false"/>
          <w:i w:val="false"/>
          <w:color w:val="000000"/>
          <w:sz w:val="28"/>
        </w:rPr>
        <w:t xml:space="preserve">
      представитель заявителей Батракова М.М. </w:t>
      </w:r>
    </w:p>
    <w:bookmarkEnd w:id="27"/>
    <w:bookmarkStart w:name="z34" w:id="28"/>
    <w:p>
      <w:pPr>
        <w:spacing w:after="0"/>
        <w:ind w:left="0"/>
        <w:jc w:val="both"/>
      </w:pPr>
      <w:r>
        <w:rPr>
          <w:rFonts w:ascii="Times New Roman"/>
          <w:b w:val="false"/>
          <w:i w:val="false"/>
          <w:color w:val="000000"/>
          <w:sz w:val="28"/>
        </w:rPr>
        <w:t>
      в отсутствие представителя ООО "Брютс Н" и его генерального директора Григоряна Т.Г. (его представителя), уведомленных надлежащим образом о времени и месте проведения заседаний комиссии по рассмотрению дела.</w:t>
      </w:r>
    </w:p>
    <w:bookmarkEnd w:id="28"/>
    <w:bookmarkStart w:name="z35" w:id="29"/>
    <w:p>
      <w:pPr>
        <w:spacing w:after="0"/>
        <w:ind w:left="0"/>
        <w:jc w:val="both"/>
      </w:pPr>
      <w:r>
        <w:rPr>
          <w:rFonts w:ascii="Times New Roman"/>
          <w:b w:val="false"/>
          <w:i w:val="false"/>
          <w:color w:val="000000"/>
          <w:sz w:val="28"/>
        </w:rPr>
        <w:t xml:space="preserve">
      В связи с необходимостью получения дополнительных сведений (информации) для принятия решения срок рассмотрения дела продлен до 30 марта 2023 г., о чем вынесено определение от 7 декабря 2022 г. № 74/опр. </w:t>
      </w:r>
    </w:p>
    <w:bookmarkEnd w:id="29"/>
    <w:bookmarkStart w:name="z36" w:id="30"/>
    <w:p>
      <w:pPr>
        <w:spacing w:after="0"/>
        <w:ind w:left="0"/>
        <w:jc w:val="both"/>
      </w:pPr>
      <w:r>
        <w:rPr>
          <w:rFonts w:ascii="Times New Roman"/>
          <w:b w:val="false"/>
          <w:i w:val="false"/>
          <w:color w:val="000000"/>
          <w:sz w:val="28"/>
        </w:rPr>
        <w:t>
      Вместе с тем 10 января 2023 г. комиссия по рассмотрению дела определением от 13 января 2023 г. № 3/опр привлекла в качестве ответчика по делу генерального директора ООО "Брютс Н" Григоряна Т.Г. и приостановила рассмотрение дела с 10 января 2023 г. на период проведения экспертизы в целях определения сходства до степени смешения товарных знаков и иных средств, индивидуализирующих деятельность заявителей и ООО "Брютс Н".</w:t>
      </w:r>
    </w:p>
    <w:bookmarkEnd w:id="30"/>
    <w:bookmarkStart w:name="z37" w:id="31"/>
    <w:p>
      <w:pPr>
        <w:spacing w:after="0"/>
        <w:ind w:left="0"/>
        <w:jc w:val="both"/>
      </w:pPr>
      <w:r>
        <w:rPr>
          <w:rFonts w:ascii="Times New Roman"/>
          <w:b w:val="false"/>
          <w:i w:val="false"/>
          <w:color w:val="000000"/>
          <w:sz w:val="28"/>
        </w:rPr>
        <w:t>
      17 апреля 2023 г. определением от 18 апреля 2023 г. № 38/опр возобновлено рассмотрение дела в связи с окончанием проведения экспертизы, а также внесены изменения в определение от 7 декабря 2022 г. № 74/опр в части продления срока рассмотрения дела до 14 июня 2023 г.</w:t>
      </w:r>
    </w:p>
    <w:bookmarkEnd w:id="31"/>
    <w:bookmarkStart w:name="z38" w:id="32"/>
    <w:p>
      <w:pPr>
        <w:spacing w:after="0"/>
        <w:ind w:left="0"/>
        <w:jc w:val="both"/>
      </w:pPr>
      <w:r>
        <w:rPr>
          <w:rFonts w:ascii="Times New Roman"/>
          <w:b w:val="false"/>
          <w:i w:val="false"/>
          <w:color w:val="000000"/>
          <w:sz w:val="28"/>
        </w:rPr>
        <w:t>
      Комиссией, в том числе в рамках заседаний, запрошены сведения (информация) в письменной форме у органов государств-членов, физических и юридических лиц, лиц, участвовавших в рассмотрении дела, в том числе у ООО "Брютс Н", о фактах, изложенных в заявлении и имеющихся в материалах дела.</w:t>
      </w:r>
    </w:p>
    <w:bookmarkEnd w:id="32"/>
    <w:bookmarkStart w:name="z39" w:id="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14 июня 2023 г. председателем комиссии по рассмотрению дела Сушкевичем А.Г. объявлено об окончании рассмотрения дела и выявлении длящегося правонарушения со стороны ООО "Брютс Н" и его генерального директора Григоряна Т.Г. </w:t>
      </w:r>
    </w:p>
    <w:bookmarkEnd w:id="33"/>
    <w:bookmarkStart w:name="z40" w:id="34"/>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34"/>
    <w:bookmarkStart w:name="z41" w:id="35"/>
    <w:p>
      <w:pPr>
        <w:spacing w:after="0"/>
        <w:ind w:left="0"/>
        <w:jc w:val="both"/>
      </w:pPr>
      <w:r>
        <w:rPr>
          <w:rFonts w:ascii="Times New Roman"/>
          <w:b w:val="false"/>
          <w:i w:val="false"/>
          <w:color w:val="000000"/>
          <w:sz w:val="28"/>
        </w:rPr>
        <w:t xml:space="preserve">
      В соответствии с Протоколом, Порядком проведения расследования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Комиссией проведена оценка состояния конкуренции на трансграничных рынках услуг кальянных заведений с использованием словесного обозначения "HOOKAH PLACE".</w:t>
      </w:r>
    </w:p>
    <w:bookmarkEnd w:id="35"/>
    <w:bookmarkStart w:name="z42" w:id="36"/>
    <w:p>
      <w:pPr>
        <w:spacing w:after="0"/>
        <w:ind w:left="0"/>
        <w:jc w:val="both"/>
      </w:pPr>
      <w:r>
        <w:rPr>
          <w:rFonts w:ascii="Times New Roman"/>
          <w:b w:val="false"/>
          <w:i w:val="false"/>
          <w:color w:val="000000"/>
          <w:sz w:val="28"/>
        </w:rPr>
        <w:t xml:space="preserve">
      В соответствии с пунктом 11 Протокола и </w:t>
      </w:r>
      <w:r>
        <w:rPr>
          <w:rFonts w:ascii="Times New Roman"/>
          <w:b w:val="false"/>
          <w:i w:val="false"/>
          <w:color w:val="000000"/>
          <w:sz w:val="28"/>
        </w:rPr>
        <w:t>пунктами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36"/>
    <w:bookmarkStart w:name="z43" w:id="37"/>
    <w:p>
      <w:pPr>
        <w:spacing w:after="0"/>
        <w:ind w:left="0"/>
        <w:jc w:val="both"/>
      </w:pPr>
      <w:r>
        <w:rPr>
          <w:rFonts w:ascii="Times New Roman"/>
          <w:b w:val="false"/>
          <w:i w:val="false"/>
          <w:color w:val="000000"/>
          <w:sz w:val="28"/>
        </w:rPr>
        <w:t>
      Согласно положениям раздела II Методики временной интервал исследования рынка определен с 10 апреля 2018 г. по 14 июня 2023 г.</w:t>
      </w:r>
    </w:p>
    <w:bookmarkEnd w:id="37"/>
    <w:bookmarkStart w:name="z44" w:id="38"/>
    <w:p>
      <w:pPr>
        <w:spacing w:after="0"/>
        <w:ind w:left="0"/>
        <w:jc w:val="both"/>
      </w:pPr>
      <w:r>
        <w:rPr>
          <w:rFonts w:ascii="Times New Roman"/>
          <w:b w:val="false"/>
          <w:i w:val="false"/>
          <w:color w:val="000000"/>
          <w:sz w:val="28"/>
        </w:rPr>
        <w:t xml:space="preserve">
      Согласно пункту 4 Методики при расследовании нарушений запретов, установленных пунктом 2 </w:t>
      </w:r>
      <w:r>
        <w:rPr>
          <w:rFonts w:ascii="Times New Roman"/>
          <w:b w:val="false"/>
          <w:i w:val="false"/>
          <w:color w:val="000000"/>
          <w:sz w:val="28"/>
        </w:rPr>
        <w:t>статьи 76</w:t>
      </w:r>
      <w:r>
        <w:rPr>
          <w:rFonts w:ascii="Times New Roman"/>
          <w:b w:val="false"/>
          <w:i w:val="false"/>
          <w:color w:val="000000"/>
          <w:sz w:val="28"/>
        </w:rPr>
        <w:t xml:space="preserve"> Договора, оценка состояния конкуренции может ограничиться предварительным определением товара, проводимым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Методики.</w:t>
      </w:r>
    </w:p>
    <w:bookmarkEnd w:id="38"/>
    <w:bookmarkStart w:name="z45" w:id="39"/>
    <w:p>
      <w:pPr>
        <w:spacing w:after="0"/>
        <w:ind w:left="0"/>
        <w:jc w:val="both"/>
      </w:pPr>
      <w:r>
        <w:rPr>
          <w:rFonts w:ascii="Times New Roman"/>
          <w:b w:val="false"/>
          <w:i w:val="false"/>
          <w:color w:val="000000"/>
          <w:sz w:val="28"/>
        </w:rPr>
        <w:t>
      В соответствии с подпунктом 18 пункта 2 Протокола товар – это объект гражданских прав (в том числе работа, услуга, включая финансовую услугу), предназначенный для продажи, обмена или иного введения в оборот.</w:t>
      </w:r>
    </w:p>
    <w:bookmarkEnd w:id="39"/>
    <w:bookmarkStart w:name="z46" w:id="40"/>
    <w:p>
      <w:pPr>
        <w:spacing w:after="0"/>
        <w:ind w:left="0"/>
        <w:jc w:val="both"/>
      </w:pPr>
      <w:r>
        <w:rPr>
          <w:rFonts w:ascii="Times New Roman"/>
          <w:b w:val="false"/>
          <w:i w:val="false"/>
          <w:color w:val="000000"/>
          <w:sz w:val="28"/>
        </w:rPr>
        <w:t>
      Таким образом, по результатам анализа соглашений (договоров, контрактов), имеющихся в материалах дела, а также классификаторов видов экономической деятельности, продукции, работ и услуг, принятых на территориях государств-членов, и иных материалов дела осуществлено предварительное определение товара и в качестве продуктовых границ товарного рынка определен рынок услуг по предоставлению прав на объекты интеллектуальной собственности третьим лицам, а также услуг по организации отдыха и развлечений (кальянные заведения) с использованием товарного знака (знака обслуживания) (далее – услуги).</w:t>
      </w:r>
    </w:p>
    <w:bookmarkEnd w:id="40"/>
    <w:bookmarkStart w:name="z47" w:id="41"/>
    <w:p>
      <w:pPr>
        <w:spacing w:after="0"/>
        <w:ind w:left="0"/>
        <w:jc w:val="both"/>
      </w:pPr>
      <w:r>
        <w:rPr>
          <w:rFonts w:ascii="Times New Roman"/>
          <w:b w:val="false"/>
          <w:i w:val="false"/>
          <w:color w:val="000000"/>
          <w:sz w:val="28"/>
        </w:rPr>
        <w:t>
      Согласно материалам дела, в том числе результатам проведенного анализа законодательства Республики Беларусь и Российской Федерации, установлено, что деятельность по оказанию услуг не лицензируется.</w:t>
      </w:r>
    </w:p>
    <w:bookmarkEnd w:id="41"/>
    <w:bookmarkStart w:name="z48" w:id="42"/>
    <w:p>
      <w:pPr>
        <w:spacing w:after="0"/>
        <w:ind w:left="0"/>
        <w:jc w:val="both"/>
      </w:pPr>
      <w:r>
        <w:rPr>
          <w:rFonts w:ascii="Times New Roman"/>
          <w:b w:val="false"/>
          <w:i w:val="false"/>
          <w:color w:val="000000"/>
          <w:sz w:val="28"/>
        </w:rPr>
        <w:t>
      Услуги, предоставляемые заявителями и ООО "Брютс Н", не имеют определенных требований к правовому регулированию ни на уровне соответствующих государств-членов, ни на уровне права Союза.</w:t>
      </w:r>
    </w:p>
    <w:bookmarkEnd w:id="42"/>
    <w:bookmarkStart w:name="z49" w:id="43"/>
    <w:p>
      <w:pPr>
        <w:spacing w:after="0"/>
        <w:ind w:left="0"/>
        <w:jc w:val="both"/>
      </w:pPr>
      <w:r>
        <w:rPr>
          <w:rFonts w:ascii="Times New Roman"/>
          <w:b w:val="false"/>
          <w:i w:val="false"/>
          <w:color w:val="000000"/>
          <w:sz w:val="28"/>
        </w:rPr>
        <w:t xml:space="preserve">
      Согласно пункту 2 Критериев отнесения рынка к трансграничному, утвержденных Решением Высшего Евразийского экономического совета от 19 декабря 2012 г. № 29 (далее – Критерии), в целях применения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рынок относится к трансграничному, если географические границы товарного рынка охватывают территории 2 и более государств-членов. Пунктом 3 Критериев установлено, что пресечение нарушений хозяйствующими субъектами запретов, установленных пунктом 2 </w:t>
      </w:r>
      <w:r>
        <w:rPr>
          <w:rFonts w:ascii="Times New Roman"/>
          <w:b w:val="false"/>
          <w:i w:val="false"/>
          <w:color w:val="000000"/>
          <w:sz w:val="28"/>
        </w:rPr>
        <w:t>статьи 76</w:t>
      </w:r>
      <w:r>
        <w:rPr>
          <w:rFonts w:ascii="Times New Roman"/>
          <w:b w:val="false"/>
          <w:i w:val="false"/>
          <w:color w:val="000000"/>
          <w:sz w:val="28"/>
        </w:rPr>
        <w:t xml:space="preserve"> Договора, осуществляется Комиссией, если хозяйствующий субъект, действия которого нарушают установленный запрет, и хозяйствующий субъект – конкурент, которому причинен или может быть причинен ущерб либо нанесен или может быть нанесен вред деловой репутации в результате совершения таких действий, зарегистрированы на территориях разных государств-членов. </w:t>
      </w:r>
    </w:p>
    <w:bookmarkEnd w:id="43"/>
    <w:bookmarkStart w:name="z50" w:id="44"/>
    <w:p>
      <w:pPr>
        <w:spacing w:after="0"/>
        <w:ind w:left="0"/>
        <w:jc w:val="both"/>
      </w:pPr>
      <w:r>
        <w:rPr>
          <w:rFonts w:ascii="Times New Roman"/>
          <w:b w:val="false"/>
          <w:i w:val="false"/>
          <w:color w:val="000000"/>
          <w:sz w:val="28"/>
        </w:rPr>
        <w:t xml:space="preserve">
      При определении географических границ товарного рынка в целях установления его соответствия Критериям и наличия полномочий Комиссии на пресечение нарушений, предусмотренных пунктом 2 </w:t>
      </w:r>
      <w:r>
        <w:rPr>
          <w:rFonts w:ascii="Times New Roman"/>
          <w:b w:val="false"/>
          <w:i w:val="false"/>
          <w:color w:val="000000"/>
          <w:sz w:val="28"/>
        </w:rPr>
        <w:t>статьи 76</w:t>
      </w:r>
      <w:r>
        <w:rPr>
          <w:rFonts w:ascii="Times New Roman"/>
          <w:b w:val="false"/>
          <w:i w:val="false"/>
          <w:color w:val="000000"/>
          <w:sz w:val="28"/>
        </w:rPr>
        <w:t xml:space="preserve"> Договора, проанализированы и установлены в том числе фактические границы предоставления и приобретения услуг (местоположение продавцов и покупателей), включая поставки товара (услуги) с территории одного государства-члена на территорию другого государства-члена, и хозяйствующие субъекты (продавцы), предоставляющие услуги на товарном рынке, а также их конкурентные отношения.</w:t>
      </w:r>
    </w:p>
    <w:bookmarkEnd w:id="44"/>
    <w:bookmarkStart w:name="z51" w:id="45"/>
    <w:p>
      <w:pPr>
        <w:spacing w:after="0"/>
        <w:ind w:left="0"/>
        <w:jc w:val="both"/>
      </w:pPr>
      <w:r>
        <w:rPr>
          <w:rFonts w:ascii="Times New Roman"/>
          <w:b w:val="false"/>
          <w:i w:val="false"/>
          <w:color w:val="000000"/>
          <w:sz w:val="28"/>
        </w:rPr>
        <w:t>
      Так, из материалов дела следует, что услуги предоставляют и могут предоставлять в том числе заявители и ООО "Брютс Н" на территориях Республики Беларусь и Российской Федерации.</w:t>
      </w:r>
    </w:p>
    <w:bookmarkEnd w:id="45"/>
    <w:bookmarkStart w:name="z52" w:id="46"/>
    <w:p>
      <w:pPr>
        <w:spacing w:after="0"/>
        <w:ind w:left="0"/>
        <w:jc w:val="both"/>
      </w:pPr>
      <w:r>
        <w:rPr>
          <w:rFonts w:ascii="Times New Roman"/>
          <w:b w:val="false"/>
          <w:i w:val="false"/>
          <w:color w:val="000000"/>
          <w:sz w:val="28"/>
        </w:rPr>
        <w:t>
      Согласно материалам дела, в том числе пояснениям заявителей, представленным в рамках рассмотрения дела, также установлено, что для предоставления услуг отсутствуют ограничения в отношении территории их предоставления, а также гражданства и (или) места регистрации лица, намеревающегося их получить.</w:t>
      </w:r>
    </w:p>
    <w:bookmarkEnd w:id="46"/>
    <w:bookmarkStart w:name="z53" w:id="47"/>
    <w:p>
      <w:pPr>
        <w:spacing w:after="0"/>
        <w:ind w:left="0"/>
        <w:jc w:val="both"/>
      </w:pPr>
      <w:r>
        <w:rPr>
          <w:rFonts w:ascii="Times New Roman"/>
          <w:b w:val="false"/>
          <w:i w:val="false"/>
          <w:color w:val="000000"/>
          <w:sz w:val="28"/>
        </w:rPr>
        <w:t>
      Таким образом, покупатель приобретает услугу или имеет экономическую, техническую или иную возможность приобретения услуги либо считает целесообразным приобрести услугу в географических границах товарного рынка Республики Беларусь и Российской Федерации, то есть на территориях 2 и более государств-членов.</w:t>
      </w:r>
    </w:p>
    <w:bookmarkEnd w:id="47"/>
    <w:p>
      <w:pPr>
        <w:spacing w:after="0"/>
        <w:ind w:left="0"/>
        <w:jc w:val="both"/>
      </w:pPr>
      <w:bookmarkStart w:name="z54" w:id="48"/>
      <w:r>
        <w:rPr>
          <w:rFonts w:ascii="Times New Roman"/>
          <w:b w:val="false"/>
          <w:i w:val="false"/>
          <w:color w:val="000000"/>
          <w:sz w:val="28"/>
        </w:rPr>
        <w:t xml:space="preserve">
      Руководствуясь </w:t>
      </w:r>
      <w:r>
        <w:rPr>
          <w:rFonts w:ascii="Times New Roman"/>
          <w:b w:val="false"/>
          <w:i w:val="false"/>
          <w:color w:val="000000"/>
          <w:sz w:val="28"/>
        </w:rPr>
        <w:t>пунктом 26</w:t>
      </w:r>
      <w:r>
        <w:rPr>
          <w:rFonts w:ascii="Times New Roman"/>
          <w:b w:val="false"/>
          <w:i w:val="false"/>
          <w:color w:val="000000"/>
          <w:sz w:val="28"/>
        </w:rPr>
        <w:t xml:space="preserve"> Методики, на основании пункта 2 </w:t>
      </w:r>
      <w:r>
        <w:rPr>
          <w:rFonts w:ascii="Times New Roman"/>
          <w:b w:val="false"/>
          <w:i w:val="false"/>
          <w:color w:val="000000"/>
          <w:sz w:val="28"/>
        </w:rPr>
        <w:t>статьи 74</w:t>
      </w:r>
      <w:r>
        <w:rPr>
          <w:rFonts w:ascii="Times New Roman"/>
          <w:b w:val="false"/>
          <w:i w:val="false"/>
          <w:color w:val="000000"/>
          <w:sz w:val="28"/>
        </w:rPr>
        <w:t xml:space="preserve">, пункта 7 </w:t>
      </w:r>
      <w:r>
        <w:rPr>
          <w:rFonts w:ascii="Times New Roman"/>
          <w:b w:val="false"/>
          <w:i w:val="false"/>
          <w:color w:val="000000"/>
          <w:sz w:val="28"/>
        </w:rPr>
        <w:t>статьи 76</w:t>
      </w:r>
      <w:r>
        <w:rPr>
          <w:rFonts w:ascii="Times New Roman"/>
          <w:b w:val="false"/>
          <w:i w:val="false"/>
          <w:color w:val="000000"/>
          <w:sz w:val="28"/>
        </w:rPr>
        <w:t xml:space="preserve"> Договора, пункта 9 Протокола и пунктов 1 – 3 Критериев, согласно информации, представленной </w:t>
      </w:r>
    </w:p>
    <w:bookmarkEnd w:id="48"/>
    <w:p>
      <w:pPr>
        <w:spacing w:after="0"/>
        <w:ind w:left="0"/>
        <w:jc w:val="both"/>
      </w:pPr>
      <w:r>
        <w:rPr>
          <w:rFonts w:ascii="Times New Roman"/>
          <w:b w:val="false"/>
          <w:i w:val="false"/>
          <w:color w:val="000000"/>
          <w:sz w:val="28"/>
        </w:rPr>
        <w:t>в материалах дела, исходя из наличия возможности приобретения и оказания услуг на территориях Республики Беларусь и Российской Федерации, можно сделать вывод о том, что товарный рынок услуг является трансграничным.</w:t>
      </w:r>
    </w:p>
    <w:bookmarkStart w:name="z55" w:id="49"/>
    <w:p>
      <w:pPr>
        <w:spacing w:after="0"/>
        <w:ind w:left="0"/>
        <w:jc w:val="both"/>
      </w:pPr>
      <w:r>
        <w:rPr>
          <w:rFonts w:ascii="Times New Roman"/>
          <w:b w:val="false"/>
          <w:i w:val="false"/>
          <w:color w:val="000000"/>
          <w:sz w:val="28"/>
        </w:rPr>
        <w:t xml:space="preserve">
      С учетом изложенного и того факта, что товарный рынок является трансграничным, на основании пункта 2 </w:t>
      </w:r>
      <w:r>
        <w:rPr>
          <w:rFonts w:ascii="Times New Roman"/>
          <w:b w:val="false"/>
          <w:i w:val="false"/>
          <w:color w:val="000000"/>
          <w:sz w:val="28"/>
        </w:rPr>
        <w:t>статьи 74</w:t>
      </w:r>
      <w:r>
        <w:rPr>
          <w:rFonts w:ascii="Times New Roman"/>
          <w:b w:val="false"/>
          <w:i w:val="false"/>
          <w:color w:val="000000"/>
          <w:sz w:val="28"/>
        </w:rPr>
        <w:t xml:space="preserve"> Договора, пункта 9 Протокола, пункта 3 Критериев, и в связи с тем, что заявители зарегистрированы в Российской Федерации, а ООО "Брютс Н" – в Республике Беларусь (то есть на территориях разных государств-членов), а также учитывая, что они являются конкурентами на одном товарном рынке услуг, пресечение нарушений положений пункта 2 </w:t>
      </w:r>
      <w:r>
        <w:rPr>
          <w:rFonts w:ascii="Times New Roman"/>
          <w:b w:val="false"/>
          <w:i w:val="false"/>
          <w:color w:val="000000"/>
          <w:sz w:val="28"/>
        </w:rPr>
        <w:t>статьи 76</w:t>
      </w:r>
      <w:r>
        <w:rPr>
          <w:rFonts w:ascii="Times New Roman"/>
          <w:b w:val="false"/>
          <w:i w:val="false"/>
          <w:color w:val="000000"/>
          <w:sz w:val="28"/>
        </w:rPr>
        <w:t xml:space="preserve"> Договора относится к компетенции Комиссии.</w:t>
      </w:r>
    </w:p>
    <w:bookmarkEnd w:id="49"/>
    <w:bookmarkStart w:name="z56" w:id="50"/>
    <w:p>
      <w:pPr>
        <w:spacing w:after="0"/>
        <w:ind w:left="0"/>
        <w:jc w:val="both"/>
      </w:pPr>
      <w:r>
        <w:rPr>
          <w:rFonts w:ascii="Times New Roman"/>
          <w:b w:val="false"/>
          <w:i w:val="false"/>
          <w:color w:val="000000"/>
          <w:sz w:val="28"/>
        </w:rPr>
        <w:t xml:space="preserve">
      В связи с тем, что для пресечения нарушений пункта 2 </w:t>
      </w:r>
      <w:r>
        <w:rPr>
          <w:rFonts w:ascii="Times New Roman"/>
          <w:b w:val="false"/>
          <w:i w:val="false"/>
          <w:color w:val="000000"/>
          <w:sz w:val="28"/>
        </w:rPr>
        <w:t xml:space="preserve">статьи 76 </w:t>
      </w:r>
      <w:r>
        <w:rPr>
          <w:rFonts w:ascii="Times New Roman"/>
          <w:b w:val="false"/>
          <w:i w:val="false"/>
          <w:color w:val="000000"/>
          <w:sz w:val="28"/>
        </w:rPr>
        <w:t xml:space="preserve"> Договора не имеется юридически значимых последствий от расчета объема товарного рынка услуг и его концентрации, такие расчеты не производились.</w:t>
      </w:r>
    </w:p>
    <w:bookmarkEnd w:id="50"/>
    <w:bookmarkStart w:name="z57" w:id="51"/>
    <w:p>
      <w:pPr>
        <w:spacing w:after="0"/>
        <w:ind w:left="0"/>
        <w:jc w:val="both"/>
      </w:pPr>
      <w:r>
        <w:rPr>
          <w:rFonts w:ascii="Times New Roman"/>
          <w:b w:val="false"/>
          <w:i w:val="false"/>
          <w:color w:val="000000"/>
          <w:sz w:val="28"/>
        </w:rPr>
        <w:t xml:space="preserve">
      Непреодолимых барьеров для входа на товарный рынок услуг исходя из материалов дела не обнаружено. </w:t>
      </w:r>
    </w:p>
    <w:bookmarkEnd w:id="51"/>
    <w:bookmarkStart w:name="z58" w:id="52"/>
    <w:p>
      <w:pPr>
        <w:spacing w:after="0"/>
        <w:ind w:left="0"/>
        <w:jc w:val="both"/>
      </w:pPr>
      <w:r>
        <w:rPr>
          <w:rFonts w:ascii="Times New Roman"/>
          <w:b w:val="false"/>
          <w:i w:val="false"/>
          <w:color w:val="000000"/>
          <w:sz w:val="28"/>
        </w:rPr>
        <w:t>
      По результатам рассмотрения материалов расследования, а также информации, представленной в рамках рассмотрения дела, в том числе по результатам заслушивания лиц, участвовавших в рассмотрении дела, исследования доказательств, заслушивания мнений и пояснений указанных лиц относительно доказательств, представленных другими лицами, участвовавшими в деле, в рамках заседаний комиссии по рассмотрению дела установлено следующее.</w:t>
      </w:r>
    </w:p>
    <w:bookmarkEnd w:id="52"/>
    <w:bookmarkStart w:name="z59" w:id="53"/>
    <w:p>
      <w:pPr>
        <w:spacing w:after="0"/>
        <w:ind w:left="0"/>
        <w:jc w:val="both"/>
      </w:pPr>
      <w:r>
        <w:rPr>
          <w:rFonts w:ascii="Times New Roman"/>
          <w:b w:val="false"/>
          <w:i w:val="false"/>
          <w:color w:val="000000"/>
          <w:sz w:val="28"/>
        </w:rPr>
        <w:t>
      Заявители оказывают услуги с 2013 года с использованием логотипа со словесным обозначением "HOOKAH PLACE", который индивидуализирует их кальянные заведения и заведения партнеров. С этого же года ими зарегистрированы и используются в информационно-телекоммуникационной сети "Интернет" (далее – сеть Интернет) сайты https://hookahplace.ru и https://franchiseHookahplace.ru, в том числе с 30 апреля 2013 г. – группа в социальной сети "ВКонтакте" https://vk.com/hookahplacetv, с 4 марта 2015 г. – канал на YouTube https://youtube.com/hookahplacetv.</w:t>
      </w:r>
    </w:p>
    <w:bookmarkEnd w:id="53"/>
    <w:bookmarkStart w:name="z60" w:id="54"/>
    <w:p>
      <w:pPr>
        <w:spacing w:after="0"/>
        <w:ind w:left="0"/>
        <w:jc w:val="both"/>
      </w:pPr>
      <w:r>
        <w:rPr>
          <w:rFonts w:ascii="Times New Roman"/>
          <w:b w:val="false"/>
          <w:i w:val="false"/>
          <w:color w:val="000000"/>
          <w:sz w:val="28"/>
        </w:rPr>
        <w:t xml:space="preserve">
      ООО "Стадион" представило договор с Тарасенко И.С. на создание логотипа от 5 августа 2013 г. № 01-2013 и акт приема-передачи разработанного логотипа </w:t>
      </w:r>
    </w:p>
    <w:bookmarkEnd w:id="54"/>
    <w:p>
      <w:pPr>
        <w:spacing w:after="0"/>
        <w:ind w:left="0"/>
        <w:jc w:val="both"/>
      </w:pPr>
      <w:r>
        <w:drawing>
          <wp:inline distT="0" distB="0" distL="0" distR="0">
            <wp:extent cx="582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293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(словесное обозначение "HOOKAH PLACE" с изображением красного креста с закругленными краями между слов) от 15 августа 2013 г., который, в свою очередь, стал объектом авторского права и с 2013 года использовался заявителями и их партнерами в своей деятельности по оказанию услуг. </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Элементы указанного логотипа были использованы заявителями при регистрации серии комбинированных товарных знаков, объединенных общим словесным обозначением "HOOKAH PLACE", в том числе при регистрации:</w:t>
      </w:r>
    </w:p>
    <w:bookmarkEnd w:id="55"/>
    <w:bookmarkStart w:name="z62" w:id="56"/>
    <w:p>
      <w:pPr>
        <w:spacing w:after="0"/>
        <w:ind w:left="0"/>
        <w:jc w:val="both"/>
      </w:pPr>
      <w:r>
        <w:rPr>
          <w:rFonts w:ascii="Times New Roman"/>
          <w:b w:val="false"/>
          <w:i w:val="false"/>
          <w:color w:val="000000"/>
          <w:sz w:val="28"/>
        </w:rPr>
        <w:t xml:space="preserve">
      комбинированного товарного знака </w:t>
      </w:r>
    </w:p>
    <w:bookmarkEnd w:id="56"/>
    <w:p>
      <w:pPr>
        <w:spacing w:after="0"/>
        <w:ind w:left="0"/>
        <w:jc w:val="both"/>
      </w:pPr>
      <w:r>
        <w:drawing>
          <wp:inline distT="0" distB="0" distL="0" distR="0">
            <wp:extent cx="400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00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(словесное обозначение "HOOKAH PLACE" с изображением черного креста с закругленными краями между слов) по свидетельству Российской Федерации № 555903 (далее – товарный знак № 555903), зарегистрированного 28 октября 2015 г. в отношении услуг 41-го класса Международной классификации товаров и услуг (МКТУ) (ООО "Стадион" передало право на использование товарного знака № 555903 в отношении всех товаров и (или) услуг в адрес ООО "ХУКАПЛЕЙС" с государственной регистрацией договора № РД 0232488 от 22 сентября 2017 г. об отчуждении исключительного права на данный товарный знак);</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комбинированного товарного знака </w:t>
      </w:r>
    </w:p>
    <w:bookmarkEnd w:id="57"/>
    <w:p>
      <w:pPr>
        <w:spacing w:after="0"/>
        <w:ind w:left="0"/>
        <w:jc w:val="both"/>
      </w:pPr>
      <w:r>
        <w:drawing>
          <wp:inline distT="0" distB="0" distL="0" distR="0">
            <wp:extent cx="400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(словесное обозначение "HOOKAH PLACE" с изображением черного креста с закругленными краями между слов) по свидетельству международной регистрации № 1499464 (далее – товарный знак № 1499464), зарегистрированного 30 сентября 2019 г. в отношении услуг 41-го класса МКТУ (правообладатель – ООО "ХУКАПЛЕЙС");</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комбинированного товарного знака </w:t>
      </w:r>
    </w:p>
    <w:bookmarkEnd w:id="58"/>
    <w:p>
      <w:pPr>
        <w:spacing w:after="0"/>
        <w:ind w:left="0"/>
        <w:jc w:val="both"/>
      </w:pPr>
      <w:r>
        <w:drawing>
          <wp:inline distT="0" distB="0" distL="0" distR="0">
            <wp:extent cx="16383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38300" cy="1168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(словесное обозначение "HOOKAH PLACE", над которым изображен красный крест с закругленными краями) по свидетельству Российской Федерации № 789551 (далее – товарный знак № 789551), зарегистрированного 21 декабря 2020 г. в отношении услуг 35-го и 43-го классов МКТУ (правообладатель – ООО "ХУКАПЛЕЙС").</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Услуги оказываются как самостоятельно заявителями, так и путем заключения ими соглашений (договоров, контрактов), в том числе с предоставлением права на объект интеллектуальной собственности (товарный знак № 555903), используемый для деятельности кальянных заведений. В сеть кальянных заведений с использованием словесного обозначения "HOOKAH PLACE" входят более 200 заведений в 20 странах мира.</w:t>
      </w:r>
    </w:p>
    <w:bookmarkEnd w:id="59"/>
    <w:bookmarkStart w:name="z66" w:id="60"/>
    <w:p>
      <w:pPr>
        <w:spacing w:after="0"/>
        <w:ind w:left="0"/>
        <w:jc w:val="both"/>
      </w:pPr>
      <w:r>
        <w:rPr>
          <w:rFonts w:ascii="Times New Roman"/>
          <w:b w:val="false"/>
          <w:i w:val="false"/>
          <w:color w:val="000000"/>
          <w:sz w:val="28"/>
        </w:rPr>
        <w:t xml:space="preserve">
      В целях осуществления заявителями деятельности кальянных заведений с использованием словесного обозначения "HOOKAH PLACE" в Республике Беларусь заключены следующие соглашения (договоры, контракты) между: </w:t>
      </w:r>
    </w:p>
    <w:bookmarkEnd w:id="60"/>
    <w:bookmarkStart w:name="z67" w:id="61"/>
    <w:p>
      <w:pPr>
        <w:spacing w:after="0"/>
        <w:ind w:left="0"/>
        <w:jc w:val="both"/>
      </w:pPr>
      <w:r>
        <w:rPr>
          <w:rFonts w:ascii="Times New Roman"/>
          <w:b w:val="false"/>
          <w:i w:val="false"/>
          <w:color w:val="000000"/>
          <w:sz w:val="28"/>
        </w:rPr>
        <w:t>
      ООО "Стадион" и обществом с ограниченной ответственностью "СитиРум" (Республика Беларусь, г. Минск, ул. Могилевская, д. 4В, УНП 192673017) от 22 февраля 2017 г.;</w:t>
      </w:r>
    </w:p>
    <w:bookmarkEnd w:id="61"/>
    <w:bookmarkStart w:name="z68" w:id="62"/>
    <w:p>
      <w:pPr>
        <w:spacing w:after="0"/>
        <w:ind w:left="0"/>
        <w:jc w:val="both"/>
      </w:pPr>
      <w:r>
        <w:rPr>
          <w:rFonts w:ascii="Times New Roman"/>
          <w:b w:val="false"/>
          <w:i w:val="false"/>
          <w:color w:val="000000"/>
          <w:sz w:val="28"/>
        </w:rPr>
        <w:t xml:space="preserve">
      ООО "Стадион" и обществом с ограниченной ответственностью "Лаймарис" (Республика Беларусь, г. Минск, ул. Я. Коласа, д. 42, ком. 1, УНП 192963103) от 4 сентября 2017 г.; </w:t>
      </w:r>
    </w:p>
    <w:bookmarkEnd w:id="62"/>
    <w:bookmarkStart w:name="z69" w:id="63"/>
    <w:p>
      <w:pPr>
        <w:spacing w:after="0"/>
        <w:ind w:left="0"/>
        <w:jc w:val="both"/>
      </w:pPr>
      <w:r>
        <w:rPr>
          <w:rFonts w:ascii="Times New Roman"/>
          <w:b w:val="false"/>
          <w:i w:val="false"/>
          <w:color w:val="000000"/>
          <w:sz w:val="28"/>
        </w:rPr>
        <w:t>
      ООО "Стадион" и обществом с ограниченной ответственностью "СитиПлейс" (далее – ООО "СитиПлейс") (Республика Беларусь, г. Минск, ул. Дунина-Марцинкевича, д. 3, пом. 72, УНП 192978390) от 31 августа 2017 г.;</w:t>
      </w:r>
    </w:p>
    <w:bookmarkEnd w:id="63"/>
    <w:bookmarkStart w:name="z70" w:id="64"/>
    <w:p>
      <w:pPr>
        <w:spacing w:after="0"/>
        <w:ind w:left="0"/>
        <w:jc w:val="both"/>
      </w:pPr>
      <w:r>
        <w:rPr>
          <w:rFonts w:ascii="Times New Roman"/>
          <w:b w:val="false"/>
          <w:i w:val="false"/>
          <w:color w:val="000000"/>
          <w:sz w:val="28"/>
        </w:rPr>
        <w:t>
      ООО "ХУКАПЛЕЙС" и обществом с ограниченной ответственностью "ИнтерСтеллаГрупп" (далее – ООО "ИнтерСтеллаГрупп") (Республика Беларусь, г. Минск, пр-т Победителей, д. 31, пом. 1, УНП 193186204) от 18 марта 2019 г.</w:t>
      </w:r>
    </w:p>
    <w:bookmarkEnd w:id="64"/>
    <w:bookmarkStart w:name="z71" w:id="65"/>
    <w:p>
      <w:pPr>
        <w:spacing w:after="0"/>
        <w:ind w:left="0"/>
        <w:jc w:val="both"/>
      </w:pPr>
      <w:r>
        <w:rPr>
          <w:rFonts w:ascii="Times New Roman"/>
          <w:b w:val="false"/>
          <w:i w:val="false"/>
          <w:color w:val="000000"/>
          <w:sz w:val="28"/>
        </w:rPr>
        <w:t xml:space="preserve">
      С 30 июня 2017 г. один из учредителей ООО "Брютс Н" Гебоян А.С. через официальную группу заявителей в социальной сети "ВКонтакте" начал переписку с заявителями о заключении с ними договора коммерческой концессии на использование словесного обозначения "HOOKAH PLACE" для открытия кальянного заведения г. Минск. </w:t>
      </w:r>
    </w:p>
    <w:bookmarkEnd w:id="65"/>
    <w:bookmarkStart w:name="z72" w:id="66"/>
    <w:p>
      <w:pPr>
        <w:spacing w:after="0"/>
        <w:ind w:left="0"/>
        <w:jc w:val="both"/>
      </w:pPr>
      <w:r>
        <w:rPr>
          <w:rFonts w:ascii="Times New Roman"/>
          <w:b w:val="false"/>
          <w:i w:val="false"/>
          <w:color w:val="000000"/>
          <w:sz w:val="28"/>
        </w:rPr>
        <w:t>
      В ходе переговоров Гебояном А.С. была получена от заявителей информация о модели ведения бизнеса по открытию кальянных заведений (цены на продукцию, материалы и информация, касающиеся функционирования кальянных заведений), также ему был выслан проект договора коммерческой концессии для ознакомления с целью его дальнейшего подписания сторонами. Кроме того, стороны в результате подготовительной работы согласовали помещение под кальянное заведение по адресу: г. Минск, ул. Интернациональная, д. 27. Получив данную информацию, Гебоян А.С. перестал выходить на связь с представителем заявителей, договор ни с одним из заявителей заключен не был.</w:t>
      </w:r>
    </w:p>
    <w:bookmarkEnd w:id="66"/>
    <w:bookmarkStart w:name="z73" w:id="67"/>
    <w:p>
      <w:pPr>
        <w:spacing w:after="0"/>
        <w:ind w:left="0"/>
        <w:jc w:val="both"/>
      </w:pPr>
      <w:r>
        <w:rPr>
          <w:rFonts w:ascii="Times New Roman"/>
          <w:b w:val="false"/>
          <w:i w:val="false"/>
          <w:color w:val="000000"/>
          <w:sz w:val="28"/>
        </w:rPr>
        <w:t>
      7 сентября 2017 г. ООО "Брютс Н" направило заявку на регистрацию товарного знака с использованием словесного обозначения "НООКАНРLАСЕ" на территории Республики Беларусь.</w:t>
      </w:r>
    </w:p>
    <w:bookmarkEnd w:id="67"/>
    <w:bookmarkStart w:name="z74" w:id="68"/>
    <w:p>
      <w:pPr>
        <w:spacing w:after="0"/>
        <w:ind w:left="0"/>
        <w:jc w:val="both"/>
      </w:pPr>
      <w:r>
        <w:rPr>
          <w:rFonts w:ascii="Times New Roman"/>
          <w:b w:val="false"/>
          <w:i w:val="false"/>
          <w:color w:val="000000"/>
          <w:sz w:val="28"/>
        </w:rPr>
        <w:t xml:space="preserve">
      16 февраля 2018 г. ООО "Брютс Н" было открыто кальянное заведение "Смоккин" по адресу: Республика Беларусь, г. Минск, ул. Интернациональная, д. 27. </w:t>
      </w:r>
    </w:p>
    <w:bookmarkEnd w:id="68"/>
    <w:bookmarkStart w:name="z75" w:id="69"/>
    <w:p>
      <w:pPr>
        <w:spacing w:after="0"/>
        <w:ind w:left="0"/>
        <w:jc w:val="both"/>
      </w:pPr>
      <w:r>
        <w:rPr>
          <w:rFonts w:ascii="Times New Roman"/>
          <w:b w:val="false"/>
          <w:i w:val="false"/>
          <w:color w:val="000000"/>
          <w:sz w:val="28"/>
        </w:rPr>
        <w:t>
      2 апреля 2018 г. ООО "Брютс Н" открыло кальянное заведение по адресу: Республика Беларусь, г. Гродно, ул. Советская, д. 25.</w:t>
      </w:r>
    </w:p>
    <w:bookmarkEnd w:id="69"/>
    <w:bookmarkStart w:name="z76" w:id="70"/>
    <w:p>
      <w:pPr>
        <w:spacing w:after="0"/>
        <w:ind w:left="0"/>
        <w:jc w:val="both"/>
      </w:pPr>
      <w:r>
        <w:rPr>
          <w:rFonts w:ascii="Times New Roman"/>
          <w:b w:val="false"/>
          <w:i w:val="false"/>
          <w:color w:val="000000"/>
          <w:sz w:val="28"/>
        </w:rPr>
        <w:t>
      2 апреля 2018 г. ООО "Брютс Н" в социальной сети "ВКонтакте" по адресу http://vk.com/smokkin.grodno/ разместило для неопределенного круга лиц информацию следующего содержания: "В Гродно открылась первая точка самой крупной сети кальянных в мире – "HookahPlace", официальный сайт "smokkin.net", франшиза Hookah Place в РБ hookahplace.net".</w:t>
      </w:r>
    </w:p>
    <w:bookmarkEnd w:id="70"/>
    <w:bookmarkStart w:name="z77" w:id="71"/>
    <w:p>
      <w:pPr>
        <w:spacing w:after="0"/>
        <w:ind w:left="0"/>
        <w:jc w:val="both"/>
      </w:pPr>
      <w:r>
        <w:rPr>
          <w:rFonts w:ascii="Times New Roman"/>
          <w:b w:val="false"/>
          <w:i w:val="false"/>
          <w:color w:val="000000"/>
          <w:sz w:val="28"/>
        </w:rPr>
        <w:t>
      2 апреля 2018 г. в сети Интернет по адресу https://newgrodno.by/society/v-grodno-otkrylas-pervaya-tochka-samoj-krupnoj-seti-kalyannyh-v-mire-hookahplace/ размещено рекламное объявление кальянного заведения "Hookah Place by Smokkin" (принадлежит ООО "Брютс Н"), расположенного в г. Гродно (Республика Беларусь) по адресу: ул. Советская, д. 25, следующего содержания: "В Гродно открылась первая точка самой крупной сети кальянных в мире – HookahPlace".</w:t>
      </w:r>
    </w:p>
    <w:bookmarkEnd w:id="71"/>
    <w:bookmarkStart w:name="z78" w:id="72"/>
    <w:p>
      <w:pPr>
        <w:spacing w:after="0"/>
        <w:ind w:left="0"/>
        <w:jc w:val="both"/>
      </w:pPr>
      <w:r>
        <w:rPr>
          <w:rFonts w:ascii="Times New Roman"/>
          <w:b w:val="false"/>
          <w:i w:val="false"/>
          <w:color w:val="000000"/>
          <w:sz w:val="28"/>
        </w:rPr>
        <w:t>
      Размещенная реклама с использованием словесного обозначения "HOOKAH PLACE" позиционирует кальянные заведения, принадлежащие ООО "Брютс Н", как входящие в международную сеть кальянных заведений "HOOKAH PLACE", принадлежащую заявителям, что не является достоверной информацией, вводит в заблуждение в отношении производителя услуг и может повлиять в том числе на выбор как потенциальных и существующих партнеров заявителей при заключении договоров на использование товарного знака в пользу ООО "Брютс Н", так и потребителей услуг кальянных заведений (отношение к международной сети кальянных заведений).</w:t>
      </w:r>
    </w:p>
    <w:bookmarkEnd w:id="72"/>
    <w:bookmarkStart w:name="z79" w:id="73"/>
    <w:p>
      <w:pPr>
        <w:spacing w:after="0"/>
        <w:ind w:left="0"/>
        <w:jc w:val="both"/>
      </w:pPr>
      <w:r>
        <w:rPr>
          <w:rFonts w:ascii="Times New Roman"/>
          <w:b w:val="false"/>
          <w:i w:val="false"/>
          <w:color w:val="000000"/>
          <w:sz w:val="28"/>
        </w:rPr>
        <w:t xml:space="preserve">
      10 апреля 2018 г. ООО "Брютс Н" зарегистрировало словесный товарный знак "HOOKAHPLACE" по свидетельству Республики Беларусь № 62812 (далее – товарный знак № 62812) в отношении услуг 34-го и 43-го классов МКТУ. </w:t>
      </w:r>
    </w:p>
    <w:bookmarkEnd w:id="73"/>
    <w:bookmarkStart w:name="z80" w:id="74"/>
    <w:p>
      <w:pPr>
        <w:spacing w:after="0"/>
        <w:ind w:left="0"/>
        <w:jc w:val="both"/>
      </w:pPr>
      <w:r>
        <w:rPr>
          <w:rFonts w:ascii="Times New Roman"/>
          <w:b w:val="false"/>
          <w:i w:val="false"/>
          <w:color w:val="000000"/>
          <w:sz w:val="28"/>
        </w:rPr>
        <w:t>
      Вышеуказанные публикации были активны в сети Интернет с момента их первого опубликования 2 апреля 2018 г., далее – на момент составления нотариального протокола осмотра доказательств от 20 января 2022 г. и на дату завершения рассмотрения дела – 14 июня 2023 г. Следовательно, публикации, в которых отражена недостоверная информация о том, что открытое ООО "Брютс Н" кальянное заведение входит в состав крупной сети кальянных заведений "HOOKAH PLACE", принадлежащей заявителям, размещены в сети Интернет более 1 года, что указывает на длящийся характер правонарушения со стороны ООО "Брютс Н".</w:t>
      </w:r>
    </w:p>
    <w:bookmarkEnd w:id="74"/>
    <w:bookmarkStart w:name="z81" w:id="75"/>
    <w:p>
      <w:pPr>
        <w:spacing w:after="0"/>
        <w:ind w:left="0"/>
        <w:jc w:val="both"/>
      </w:pPr>
      <w:r>
        <w:rPr>
          <w:rFonts w:ascii="Times New Roman"/>
          <w:b w:val="false"/>
          <w:i w:val="false"/>
          <w:color w:val="000000"/>
          <w:sz w:val="28"/>
        </w:rPr>
        <w:t>
      9 августа 2018 г. ООО "Брютс Н" зарегистрировало сайт для продвижения своей деятельности в сети Интернет: https://hookahplace.net.</w:t>
      </w:r>
    </w:p>
    <w:bookmarkEnd w:id="75"/>
    <w:bookmarkStart w:name="z82" w:id="76"/>
    <w:p>
      <w:pPr>
        <w:spacing w:after="0"/>
        <w:ind w:left="0"/>
        <w:jc w:val="both"/>
      </w:pPr>
      <w:r>
        <w:rPr>
          <w:rFonts w:ascii="Times New Roman"/>
          <w:b w:val="false"/>
          <w:i w:val="false"/>
          <w:color w:val="000000"/>
          <w:sz w:val="28"/>
        </w:rPr>
        <w:t>
      18 ноября 2020 г. в сети Интернет для неопределенного круга лиц по адресу https://hookahplace.net ООО "Брютс Н" разместило фото одного из учредителей заявителей Гайворовского А., который, согласно материалам дела, не был учредителем, руководителем или сотрудником ООО "Брютс Н".</w:t>
      </w:r>
    </w:p>
    <w:bookmarkEnd w:id="76"/>
    <w:bookmarkStart w:name="z83" w:id="77"/>
    <w:p>
      <w:pPr>
        <w:spacing w:after="0"/>
        <w:ind w:left="0"/>
        <w:jc w:val="both"/>
      </w:pPr>
      <w:r>
        <w:rPr>
          <w:rFonts w:ascii="Times New Roman"/>
          <w:b w:val="false"/>
          <w:i w:val="false"/>
          <w:color w:val="000000"/>
          <w:sz w:val="28"/>
        </w:rPr>
        <w:t xml:space="preserve">
      Заявители утверждают, что товарный знак ООО "Брютс Н" № 62812 и товарный знак заявителей № 555903 сходны до степени смешения, что вводит и (или) может ввести потребителей в заблуждение. </w:t>
      </w:r>
    </w:p>
    <w:bookmarkEnd w:id="77"/>
    <w:bookmarkStart w:name="z84" w:id="78"/>
    <w:p>
      <w:pPr>
        <w:spacing w:after="0"/>
        <w:ind w:left="0"/>
        <w:jc w:val="both"/>
      </w:pPr>
      <w:r>
        <w:rPr>
          <w:rFonts w:ascii="Times New Roman"/>
          <w:b w:val="false"/>
          <w:i w:val="false"/>
          <w:color w:val="000000"/>
          <w:sz w:val="28"/>
        </w:rPr>
        <w:t>
      В то же время из материалов дела следует, что автором оригинального логотипа со словесным обозначением "HOOKAH PLACE" является ООО "Стадион", что подтверждается договором с Тарасенко И.С. от 5 августа 2013 г.</w:t>
      </w:r>
    </w:p>
    <w:bookmarkEnd w:id="78"/>
    <w:bookmarkStart w:name="z85" w:id="79"/>
    <w:p>
      <w:pPr>
        <w:spacing w:after="0"/>
        <w:ind w:left="0"/>
        <w:jc w:val="both"/>
      </w:pPr>
      <w:r>
        <w:rPr>
          <w:rFonts w:ascii="Times New Roman"/>
          <w:b w:val="false"/>
          <w:i w:val="false"/>
          <w:color w:val="000000"/>
          <w:sz w:val="28"/>
        </w:rPr>
        <w:t xml:space="preserve">
       Согласно письму ООО "СитиПлейс" (вх. № 18933 от 10 октября 2022 г.) "о международной сети кальянных "HookahPlace" стало известно из информационных источников: интернет- сайта https://hookahplace.ru, видео-блога основателя сети Антона Гайвороновского "JOHNCALLIANO.TV" … канала – HOOKAHPLACETV" … Указание на сайте https://hookahplace.ru нашего заведения, как представителя сети, также привлекает к нам гостей. Перед открытием заведения был обучен персонал согласно стандартам сети, проводились консультации по выбору места расположения заведения, дизайн-проекта. Сеть предоставляет помощь в разработке афиш и иной рекламной продукции.". </w:t>
      </w:r>
    </w:p>
    <w:bookmarkEnd w:id="79"/>
    <w:bookmarkStart w:name="z86" w:id="80"/>
    <w:p>
      <w:pPr>
        <w:spacing w:after="0"/>
        <w:ind w:left="0"/>
        <w:jc w:val="both"/>
      </w:pPr>
      <w:r>
        <w:rPr>
          <w:rFonts w:ascii="Times New Roman"/>
          <w:b w:val="false"/>
          <w:i w:val="false"/>
          <w:color w:val="000000"/>
          <w:sz w:val="28"/>
        </w:rPr>
        <w:t xml:space="preserve">
       При этом ООО "СитиПлейс" отмечает, что ООО "Брютс Н" неоднократно обращалось к нему с претензиями и предложениями об использовании товарного знака № 62812. </w:t>
      </w:r>
    </w:p>
    <w:bookmarkEnd w:id="80"/>
    <w:bookmarkStart w:name="z87" w:id="81"/>
    <w:p>
      <w:pPr>
        <w:spacing w:after="0"/>
        <w:ind w:left="0"/>
        <w:jc w:val="both"/>
      </w:pPr>
      <w:r>
        <w:rPr>
          <w:rFonts w:ascii="Times New Roman"/>
          <w:b w:val="false"/>
          <w:i w:val="false"/>
          <w:color w:val="000000"/>
          <w:sz w:val="28"/>
        </w:rPr>
        <w:t>
      Так, например, 5 апреля 2019 г. с почтового адреса rash@smokkin.net партнеру заявителей на адрес электронной почты cityplace2017@gmail.com от ООО "Брютс Н" поступило коммерческое предложение о покупке франшизы "Hookah Place by Smokkin" стоимостью 5 000 долларов США за 1 заведение.</w:t>
      </w:r>
    </w:p>
    <w:bookmarkEnd w:id="81"/>
    <w:bookmarkStart w:name="z88" w:id="82"/>
    <w:p>
      <w:pPr>
        <w:spacing w:after="0"/>
        <w:ind w:left="0"/>
        <w:jc w:val="both"/>
      </w:pPr>
      <w:r>
        <w:rPr>
          <w:rFonts w:ascii="Times New Roman"/>
          <w:b w:val="false"/>
          <w:i w:val="false"/>
          <w:color w:val="000000"/>
          <w:sz w:val="28"/>
        </w:rPr>
        <w:t>
      Также (согласно письму ООО "Брютс Н" в адрес ООО "СитиПлейс" (без номера и даты)) ООО "Брютс Н" утверждает, что ООО "СитиПлейс" незаконно использует товарный знак со словесным обозначением "HOOKAHPLACЕ" (товарный знак № 62812), который обнаружен по адресу г. Минск, ул. Дунина-Марцинкевича, д. 3 (место нахождения заведения ООО "СитиПлейс"). При этом в приложении к письму ООО "Брютс Н" представило фотографии наружных вывесок заведения ООО "СитиПлейс", на которых зафиксировано изображение товарного знака с использованием словесного обозначения "HOOKAH PLACE" и изображением между словами красного креста с закругленными концами (логотип заявителей, зарегистрированный под товарным знаком № 555903).</w:t>
      </w:r>
    </w:p>
    <w:bookmarkEnd w:id="82"/>
    <w:bookmarkStart w:name="z89" w:id="83"/>
    <w:p>
      <w:pPr>
        <w:spacing w:after="0"/>
        <w:ind w:left="0"/>
        <w:jc w:val="both"/>
      </w:pPr>
      <w:r>
        <w:rPr>
          <w:rFonts w:ascii="Times New Roman"/>
          <w:b w:val="false"/>
          <w:i w:val="false"/>
          <w:color w:val="000000"/>
          <w:sz w:val="28"/>
        </w:rPr>
        <w:t>
      В феврале 2021 г. ООО "Брютс Н" направило в адрес ООО "СитиПлейс" повторную претензию с требованием выплатить денежную компенсацию за незаконное использование товарного знака № 62812 в размере 22 100 долларов США. В ходе переписки ООО "Брютс Н" предлагало заключить лицензионный договор на право использования товарного знака № 62812.</w:t>
      </w:r>
    </w:p>
    <w:bookmarkEnd w:id="83"/>
    <w:bookmarkStart w:name="z90" w:id="84"/>
    <w:p>
      <w:pPr>
        <w:spacing w:after="0"/>
        <w:ind w:left="0"/>
        <w:jc w:val="both"/>
      </w:pPr>
      <w:r>
        <w:rPr>
          <w:rFonts w:ascii="Times New Roman"/>
          <w:b w:val="false"/>
          <w:i w:val="false"/>
          <w:color w:val="000000"/>
          <w:sz w:val="28"/>
        </w:rPr>
        <w:t>
      ООО "Брютс Н" направило в адрес ООО "СитиПлейс" еще одну претензию с требованием в срок до 8 марта 2021 г. прекратить использование товарного знака № 62812, который, по мнению ООО "Брютс Н", используется ООО "СитиПлейс" с 10 апреля 2018 г. Также ООО "Брютс Н" сообщило ООО "СитиПлейс", что своими действия оно нанесло ему ущерб на сумму 17 100 долларов США за весь период использования товарного знака № 62812.</w:t>
      </w:r>
    </w:p>
    <w:bookmarkEnd w:id="84"/>
    <w:bookmarkStart w:name="z91" w:id="85"/>
    <w:p>
      <w:pPr>
        <w:spacing w:after="0"/>
        <w:ind w:left="0"/>
        <w:jc w:val="both"/>
      </w:pPr>
      <w:r>
        <w:rPr>
          <w:rFonts w:ascii="Times New Roman"/>
          <w:b w:val="false"/>
          <w:i w:val="false"/>
          <w:color w:val="000000"/>
          <w:sz w:val="28"/>
        </w:rPr>
        <w:t>
      28 апреля 2021 г. ООО "Брютс Н" направило в адрес ООО "СитиПлейс" претензию (в досудебном порядке) с требованием прекратить использование товарного знака № 62812, являющего объектом его авторского права, и удалить изображение товарного знака "HOOKAHPLACE" или обозначения, сходные с ним до степени смешения, с материалов, используемых ООО "СитиПлейс", в том числе в сети Интернет, при осуществлении ООО "СитиПлейс" предпринимательской деятельности.</w:t>
      </w:r>
    </w:p>
    <w:bookmarkEnd w:id="85"/>
    <w:bookmarkStart w:name="z92" w:id="86"/>
    <w:p>
      <w:pPr>
        <w:spacing w:after="0"/>
        <w:ind w:left="0"/>
        <w:jc w:val="both"/>
      </w:pPr>
      <w:r>
        <w:rPr>
          <w:rFonts w:ascii="Times New Roman"/>
          <w:b w:val="false"/>
          <w:i w:val="false"/>
          <w:color w:val="000000"/>
          <w:sz w:val="28"/>
        </w:rPr>
        <w:t>
      29 апреля 2021 г. ООО "СитиПлейс" получило исковое заявление от ООО "Брютс Н" в защиту исключительного права на товарный знак № 62812 с требованиями прекратить использовать словесное обозначение "HOOKAHPLACE", выплатить денежную компенсацию в размере 63 800 белорусских рублей и оплатить судебные расходы.</w:t>
      </w:r>
    </w:p>
    <w:bookmarkEnd w:id="86"/>
    <w:bookmarkStart w:name="z93" w:id="87"/>
    <w:p>
      <w:pPr>
        <w:spacing w:after="0"/>
        <w:ind w:left="0"/>
        <w:jc w:val="both"/>
      </w:pPr>
      <w:r>
        <w:rPr>
          <w:rFonts w:ascii="Times New Roman"/>
          <w:b w:val="false"/>
          <w:i w:val="false"/>
          <w:color w:val="000000"/>
          <w:sz w:val="28"/>
        </w:rPr>
        <w:t xml:space="preserve">
      Аналогичная претензия ООО "Брютс Н", полученная ООО "СитиПлейс", была датирована 6 августа 2021 г. </w:t>
      </w:r>
    </w:p>
    <w:bookmarkEnd w:id="87"/>
    <w:bookmarkStart w:name="z94" w:id="88"/>
    <w:p>
      <w:pPr>
        <w:spacing w:after="0"/>
        <w:ind w:left="0"/>
        <w:jc w:val="both"/>
      </w:pPr>
      <w:r>
        <w:rPr>
          <w:rFonts w:ascii="Times New Roman"/>
          <w:b w:val="false"/>
          <w:i w:val="false"/>
          <w:color w:val="000000"/>
          <w:sz w:val="28"/>
        </w:rPr>
        <w:t>
      Верховный Суд Республики Беларусь письмом вх. № 18679 от 5 октября 2022 г. сообщил, что 20 января 2021 г., 29 апреля 2021 г., 30 августа 2021 г., 4 октября 2021 г. и 5 ноября 2021 г. ООО "Брютс Н" обращалось в судебную коллегию с исковыми заявлениями, которые были ему возвращены в связи с неустранением недостатков в них.</w:t>
      </w:r>
    </w:p>
    <w:bookmarkEnd w:id="88"/>
    <w:bookmarkStart w:name="z95" w:id="89"/>
    <w:p>
      <w:pPr>
        <w:spacing w:after="0"/>
        <w:ind w:left="0"/>
        <w:jc w:val="both"/>
      </w:pPr>
      <w:r>
        <w:rPr>
          <w:rFonts w:ascii="Times New Roman"/>
          <w:b w:val="false"/>
          <w:i w:val="false"/>
          <w:color w:val="000000"/>
          <w:sz w:val="28"/>
        </w:rPr>
        <w:t>
      Исковые заявления ООО "Брютс Н" к ООО "СитиПлейс", направленные в Верховный Суд Республики Беларусь, также содержали требования о прекращении использования товарного знака № 62812, удалении товарного знака или обозначения, сходного с ним до степени смешения, и взыскании денежной компенсации в связи с нарушением исключительного права на объект, в том числе как на объект авторского права.</w:t>
      </w:r>
    </w:p>
    <w:bookmarkEnd w:id="89"/>
    <w:bookmarkStart w:name="z96" w:id="90"/>
    <w:p>
      <w:pPr>
        <w:spacing w:after="0"/>
        <w:ind w:left="0"/>
        <w:jc w:val="both"/>
      </w:pPr>
      <w:r>
        <w:rPr>
          <w:rFonts w:ascii="Times New Roman"/>
          <w:b w:val="false"/>
          <w:i w:val="false"/>
          <w:color w:val="000000"/>
          <w:sz w:val="28"/>
        </w:rPr>
        <w:t xml:space="preserve">
      Верховный Суд Республики Беларусь в своем определении от 6 октября 2021 г. сообщил, что "авторское право на произведение возникает в силу его создания, исключительное право на товарный знак с даты его регистрации…", при этом отметил, что ООО "Брютс Н" не указало, когда, кем именно и какой объект авторского права был создан, в чем конкретно выражаются результаты творческого труда его автора. Вместе с тем в материалах дела также отсутствуют какие-либо сведения (информация, документы), подтверждающие наличие авторских прав на товарный знак у ООО "Брютс Н". </w:t>
      </w:r>
    </w:p>
    <w:bookmarkEnd w:id="90"/>
    <w:bookmarkStart w:name="z97" w:id="91"/>
    <w:p>
      <w:pPr>
        <w:spacing w:after="0"/>
        <w:ind w:left="0"/>
        <w:jc w:val="both"/>
      </w:pPr>
      <w:r>
        <w:rPr>
          <w:rFonts w:ascii="Times New Roman"/>
          <w:b w:val="false"/>
          <w:i w:val="false"/>
          <w:color w:val="000000"/>
          <w:sz w:val="28"/>
        </w:rPr>
        <w:t>
       По мнению заявителей, приобретение ООО "Брютс Н" исключительного права на товарный знак № 62812, сходный до степени смешения с брендом сети кальянных заведений "HOOKAH PLACE" заявителей, в том числе с отличительной частью фирменного наименования ООО "ХУКАПЛЕЙС" на основании фонетического и семантического критериев сходства, сходный с товарным знаком № 555903 заявителей, включающий в себя словесное обозначение "HOOKAH PLACE", дает ООО "Брютс Н" возможность снизить расходы или избежать таким образом расходов на продвижение своих услуг под известным потребителю словесным обозначением. Позиционирование ООО "Брютс Н" как лица, причастного к деятельности сети кальянных заведений "HOOKAH PLACE" заявителей, приводит к еще большему смешению услуг компаний на рынке, а также к введению в заблуждение потребителей и контрагентов относительно лица, оказывающего услуги под наименованием "HOOKAH PLACE".</w:t>
      </w:r>
    </w:p>
    <w:bookmarkEnd w:id="91"/>
    <w:bookmarkStart w:name="z98" w:id="92"/>
    <w:p>
      <w:pPr>
        <w:spacing w:after="0"/>
        <w:ind w:left="0"/>
        <w:jc w:val="both"/>
      </w:pPr>
      <w:r>
        <w:rPr>
          <w:rFonts w:ascii="Times New Roman"/>
          <w:b w:val="false"/>
          <w:i w:val="false"/>
          <w:color w:val="000000"/>
          <w:sz w:val="28"/>
        </w:rPr>
        <w:t>
      Из письма Государственного комитета по науке и технологиям Республики Беларусь "Национальный центр интеллектуальной собственности" от 2 декабря 2020 г. № 01-15/708-142/017 следует, что ООО "Брютс Н" заключило договоры неисключительной лицензии о предоставлении права использования товарного знака № 62812 с обществом с ограниченной ответственностью "РубинПРО" (далее – ООО "РубинПРО") (Республика Беларусь, г. Минск, пр. Победителей, д. 11, УНП 191595248) от 28 февраля 2019 г. № 8847 и с ООО "ИнтерСтеллаГрупп" от 6 июня 2019 г. № 9063 (срок действия указанных договоров – до 7 сентября 2027 г.).</w:t>
      </w:r>
    </w:p>
    <w:bookmarkEnd w:id="92"/>
    <w:bookmarkStart w:name="z99" w:id="93"/>
    <w:p>
      <w:pPr>
        <w:spacing w:after="0"/>
        <w:ind w:left="0"/>
        <w:jc w:val="both"/>
      </w:pPr>
      <w:r>
        <w:rPr>
          <w:rFonts w:ascii="Times New Roman"/>
          <w:b w:val="false"/>
          <w:i w:val="false"/>
          <w:color w:val="000000"/>
          <w:sz w:val="28"/>
        </w:rPr>
        <w:t>
      Кроме того, ООО "Брютс Н" письмом от 1 марта 2021 г. № 11 представило в адрес Министерства антимонопольного регулирования и торговли Республики Беларусь лицензионный договор на товарный знак от 21 февраля 2019 г. № 1, заключенный между ООО "Брютс Н" и ООО "РубинПРО", а также лицензионный договор на товарный знак от 24 мая 2019 г. № 2, заключенный между ООО "Брютс Н" и ООО "ИнтерСтеллаГрупп".</w:t>
      </w:r>
    </w:p>
    <w:bookmarkEnd w:id="93"/>
    <w:bookmarkStart w:name="z100" w:id="94"/>
    <w:p>
      <w:pPr>
        <w:spacing w:after="0"/>
        <w:ind w:left="0"/>
        <w:jc w:val="both"/>
      </w:pPr>
      <w:r>
        <w:rPr>
          <w:rFonts w:ascii="Times New Roman"/>
          <w:b w:val="false"/>
          <w:i w:val="false"/>
          <w:color w:val="000000"/>
          <w:sz w:val="28"/>
        </w:rPr>
        <w:t>
      Согласно лицензионному договору на товарный знак от 21 февраля 2019 г. № 1 ООО "Брютс Н" предоставляет право на использование товарного знака № 62812 за вознаграждение в размере однократного платежа на сумму 5 000 долларов США и ежемесячных платежей в размере 307 долларов США.</w:t>
      </w:r>
    </w:p>
    <w:bookmarkEnd w:id="94"/>
    <w:bookmarkStart w:name="z101" w:id="95"/>
    <w:p>
      <w:pPr>
        <w:spacing w:after="0"/>
        <w:ind w:left="0"/>
        <w:jc w:val="both"/>
      </w:pPr>
      <w:r>
        <w:rPr>
          <w:rFonts w:ascii="Times New Roman"/>
          <w:b w:val="false"/>
          <w:i w:val="false"/>
          <w:color w:val="000000"/>
          <w:sz w:val="28"/>
        </w:rPr>
        <w:t>
      Согласно лицензионному договору на товарный знак от 24 мая 2019 г. № 2 ООО "Брютс Н" предоставляет право на использование товарного знака № 62812 за вознаграждение в размере 4 000 долларов США.</w:t>
      </w:r>
    </w:p>
    <w:bookmarkEnd w:id="95"/>
    <w:bookmarkStart w:name="z102" w:id="96"/>
    <w:p>
      <w:pPr>
        <w:spacing w:after="0"/>
        <w:ind w:left="0"/>
        <w:jc w:val="both"/>
      </w:pPr>
      <w:r>
        <w:rPr>
          <w:rFonts w:ascii="Times New Roman"/>
          <w:b w:val="false"/>
          <w:i w:val="false"/>
          <w:color w:val="000000"/>
          <w:sz w:val="28"/>
        </w:rPr>
        <w:t>
      Предоставление ООО "Брютс Н" услуг, в том числе по предоставлению прав на объекты интеллектуальной собственности, свидетельствует о наличии конкурентных отношений с заявителями.</w:t>
      </w:r>
    </w:p>
    <w:bookmarkEnd w:id="96"/>
    <w:bookmarkStart w:name="z103" w:id="97"/>
    <w:p>
      <w:pPr>
        <w:spacing w:after="0"/>
        <w:ind w:left="0"/>
        <w:jc w:val="both"/>
      </w:pPr>
      <w:r>
        <w:rPr>
          <w:rFonts w:ascii="Times New Roman"/>
          <w:b w:val="false"/>
          <w:i w:val="false"/>
          <w:color w:val="000000"/>
          <w:sz w:val="28"/>
        </w:rPr>
        <w:t>
      При этом со стороны ООО "Брютс Н" наблюдается противодействие деятельности заявителей на территории Республики Беларусь, поскольку оно считает себя автором товарного знака и единственным правообладателем словесного обозначения "HOOKAHPLACE".</w:t>
      </w:r>
    </w:p>
    <w:bookmarkEnd w:id="97"/>
    <w:bookmarkStart w:name="z104" w:id="98"/>
    <w:p>
      <w:pPr>
        <w:spacing w:after="0"/>
        <w:ind w:left="0"/>
        <w:jc w:val="both"/>
      </w:pPr>
      <w:r>
        <w:rPr>
          <w:rFonts w:ascii="Times New Roman"/>
          <w:b w:val="false"/>
          <w:i w:val="false"/>
          <w:color w:val="000000"/>
          <w:sz w:val="28"/>
        </w:rPr>
        <w:t xml:space="preserve">
      По мнению заявителей, им был нанесен фактический ущерб, в том числе ввиду того, что ООО "ИнтерСтеллаГрупп" (бывший партнер заявителей) отказалось от исполнения договора коммерческой концессии от 18 марта 2019 г., заключенного с заявителем. ООО "ХУКАПЛЕЙС" полностью исполнило обязанности по договору, были предоставлены материалы, оказана информационная поддержка и размещена реклама на сайте заявителей, также команда работников заявителей выезжала на открытие кальянного заведения ООО "ИнтерСтеллаГрупп". Однако ООО "ИнтерСтеллаГрупп" не исполнило свои обязательства и не выплатило ООО "ХУКАПЛЕЙС" вознаграждение по договору. При этом аналогичный договор ООО "ИнтерСтеллаГрупп" заключило с ООО "Брютс Н". </w:t>
      </w:r>
    </w:p>
    <w:bookmarkEnd w:id="98"/>
    <w:bookmarkStart w:name="z105" w:id="99"/>
    <w:p>
      <w:pPr>
        <w:spacing w:after="0"/>
        <w:ind w:left="0"/>
        <w:jc w:val="both"/>
      </w:pPr>
      <w:r>
        <w:rPr>
          <w:rFonts w:ascii="Times New Roman"/>
          <w:b w:val="false"/>
          <w:i w:val="false"/>
          <w:color w:val="000000"/>
          <w:sz w:val="28"/>
        </w:rPr>
        <w:t xml:space="preserve">
      Согласно условиям договора ООО "ИнтерСтеллаГрупп" с ООО "ХУКАПЛЕЙС" оно должно было выплатить ООО "ХУКАПЛЕЙС" 200 000 российских рублей в срок, не превышающий 5 рабочих дней с даты подписания договора, и далее на протяжении действия данного договора выплачивать ежемесячно по 13 000 российских рублей (срок действия договора 5 лет). Таким образом, фактически ущерб для ООО "ХУКАПЛЕЙС" составил 980 000 российских рублей (за 5 лет с 18 марта 2019 г. по 18 марта 2024 г). </w:t>
      </w:r>
    </w:p>
    <w:bookmarkEnd w:id="99"/>
    <w:bookmarkStart w:name="z106" w:id="100"/>
    <w:p>
      <w:pPr>
        <w:spacing w:after="0"/>
        <w:ind w:left="0"/>
        <w:jc w:val="both"/>
      </w:pPr>
      <w:r>
        <w:rPr>
          <w:rFonts w:ascii="Times New Roman"/>
          <w:b w:val="false"/>
          <w:i w:val="false"/>
          <w:color w:val="000000"/>
          <w:sz w:val="28"/>
        </w:rPr>
        <w:t>
      Возможный ущерб, по мнению заявителей, выражается в том, что из-за недобросовестных действий ООО "Брютс Н" третьи лица на территории Республики Беларусь, которые, возможно, желали заключить с заявителями договоры на право использования словесного обозначения "HOOKAH PLACE" для открытия кальянных заведений, отказались от обращения к заявителям ввиду возможности наступления ответственности за незаконное использование товарных знаков заявителей, сходных до степени смешения с товарным знаком ООО "Брютс Н", как в случае с ООО "ИнтерСтеллаГрупп".</w:t>
      </w:r>
    </w:p>
    <w:bookmarkEnd w:id="100"/>
    <w:bookmarkStart w:name="z107" w:id="101"/>
    <w:p>
      <w:pPr>
        <w:spacing w:after="0"/>
        <w:ind w:left="0"/>
        <w:jc w:val="both"/>
      </w:pPr>
      <w:r>
        <w:rPr>
          <w:rFonts w:ascii="Times New Roman"/>
          <w:b w:val="false"/>
          <w:i w:val="false"/>
          <w:color w:val="000000"/>
          <w:sz w:val="28"/>
        </w:rPr>
        <w:t>
      Вышеизложенное явно свидетельствует о стремлении ООО "Брютс Н" путем регистрации товарного знака № 62812 воспользоваться репутацией бренда "HOOKAH PLACE", которая была получена за счет финансовых и производственных усилий заявителей, а также получить преимущества при осуществлении своей деятельности на территории Республики Беларусь и вытеснить с рынка заявителей и их партнеров, которые осуществляют деятельность на территории Республики Беларусь на основании соглашений (договоров, контрактов), заключенных с заявителями.</w:t>
      </w:r>
    </w:p>
    <w:bookmarkEnd w:id="101"/>
    <w:p>
      <w:pPr>
        <w:spacing w:after="0"/>
        <w:ind w:left="0"/>
        <w:jc w:val="both"/>
      </w:pPr>
      <w:bookmarkStart w:name="z108" w:id="102"/>
      <w:r>
        <w:rPr>
          <w:rFonts w:ascii="Times New Roman"/>
          <w:b w:val="false"/>
          <w:i w:val="false"/>
          <w:color w:val="000000"/>
          <w:sz w:val="28"/>
        </w:rPr>
        <w:t xml:space="preserve">
      Поскольку словесное обозначение "HOOKAH PLACE" в течение длительного времени используется заявителями как на мировом, так и на белорусском рынке, оно устойчиво ассоциируется у потребителя именно с данными компаниями и их услугами, поэтому регистрация </w:t>
      </w:r>
    </w:p>
    <w:bookmarkEnd w:id="102"/>
    <w:p>
      <w:pPr>
        <w:spacing w:after="0"/>
        <w:ind w:left="0"/>
        <w:jc w:val="both"/>
      </w:pPr>
      <w:r>
        <w:rPr>
          <w:rFonts w:ascii="Times New Roman"/>
          <w:b w:val="false"/>
          <w:i w:val="false"/>
          <w:color w:val="000000"/>
          <w:sz w:val="28"/>
        </w:rPr>
        <w:t>и использование ООО "Брютс Н" товарного знака № 62812 приводят к смешению услуг компаний на рынке и введению в заблуждение потребителей и контрагентов относительно лица, оказывающего услуги кальянных заведений под наименованием "HOOKAH PLACE".</w:t>
      </w:r>
    </w:p>
    <w:bookmarkStart w:name="z109" w:id="103"/>
    <w:p>
      <w:pPr>
        <w:spacing w:after="0"/>
        <w:ind w:left="0"/>
        <w:jc w:val="both"/>
      </w:pPr>
      <w:r>
        <w:rPr>
          <w:rFonts w:ascii="Times New Roman"/>
          <w:b w:val="false"/>
          <w:i w:val="false"/>
          <w:color w:val="000000"/>
          <w:sz w:val="28"/>
        </w:rPr>
        <w:t>
      Согласно заключению патентного поверенного Вдовкина Р.О., привлеченного в рамках рассмотрения дела определением от 13 января 2022 г. № 3/опр для проведения экспертизы, перечень товаров и услуг товарного знака № 62812 является однородным перечню товаров и услуг 43 класса по товарным знакам заявителей (в первую очередь по классу услуги кальянных). </w:t>
      </w:r>
    </w:p>
    <w:bookmarkEnd w:id="103"/>
    <w:bookmarkStart w:name="z110" w:id="104"/>
    <w:p>
      <w:pPr>
        <w:spacing w:after="0"/>
        <w:ind w:left="0"/>
        <w:jc w:val="both"/>
      </w:pPr>
      <w:r>
        <w:rPr>
          <w:rFonts w:ascii="Times New Roman"/>
          <w:b w:val="false"/>
          <w:i w:val="false"/>
          <w:color w:val="000000"/>
          <w:sz w:val="28"/>
        </w:rPr>
        <w:t>
      Также согласно данному заключению в силу того, что со стороны ООО "Брютс Н" речь идет о словесном товарном знаке № 62812, сравнение целесообразно проводить с товарными знаками № 555903 и 789551, а также с международным товарным знаком № 1499464, так как они содержат словесное обозначение "HOOKAH PLACE". Таким образом, сравнительный анализ сводится к сравнению словесных обозначений "HOOKAH PLACE" и "HOOKAHPLACE".</w:t>
      </w:r>
    </w:p>
    <w:bookmarkEnd w:id="104"/>
    <w:bookmarkStart w:name="z111" w:id="105"/>
    <w:p>
      <w:pPr>
        <w:spacing w:after="0"/>
        <w:ind w:left="0"/>
        <w:jc w:val="both"/>
      </w:pPr>
      <w:r>
        <w:rPr>
          <w:rFonts w:ascii="Times New Roman"/>
          <w:b w:val="false"/>
          <w:i w:val="false"/>
          <w:color w:val="000000"/>
          <w:sz w:val="28"/>
        </w:rPr>
        <w:t>
      Товарный знак № 555903 представляет собой комбинированный товарный знак: словесное обозначение "HOOKAH PLACE" выполнено стандартным латинским шрифтом без цветового сочетания, между словами расположен изобразительный элемент, представляющий собой оригинально исполненный, симметричный по обеим осям диагональный крест со скругленными концами. </w:t>
      </w:r>
    </w:p>
    <w:bookmarkEnd w:id="105"/>
    <w:bookmarkStart w:name="z112" w:id="106"/>
    <w:p>
      <w:pPr>
        <w:spacing w:after="0"/>
        <w:ind w:left="0"/>
        <w:jc w:val="both"/>
      </w:pPr>
      <w:r>
        <w:rPr>
          <w:rFonts w:ascii="Times New Roman"/>
          <w:b w:val="false"/>
          <w:i w:val="false"/>
          <w:color w:val="000000"/>
          <w:sz w:val="28"/>
        </w:rPr>
        <w:t>
      Международный товарный знак № 1499464 представляет собой комбинированный товарный знак: словесное обозначение "HOOKAH PLACE" выполнено стандартным латинским шрифтом, между словами расположен изобразительный элемент, представляющий собой оригинально исполненный, симметричный по обеим осям диагональный крест со скругленными концами. </w:t>
      </w:r>
    </w:p>
    <w:bookmarkEnd w:id="106"/>
    <w:bookmarkStart w:name="z113" w:id="107"/>
    <w:p>
      <w:pPr>
        <w:spacing w:after="0"/>
        <w:ind w:left="0"/>
        <w:jc w:val="both"/>
      </w:pPr>
      <w:r>
        <w:rPr>
          <w:rFonts w:ascii="Times New Roman"/>
          <w:b w:val="false"/>
          <w:i w:val="false"/>
          <w:color w:val="000000"/>
          <w:sz w:val="28"/>
        </w:rPr>
        <w:t>
      Товарный знак № 789551 представляет собой комбинированный товарный знак: словесное обозначение "HOOKAH PLACE" выполнено стандартным латинским шрифтом черного цвета, над словесным обозначением расположен изобразительный элемент, представляющий собой оригинально исполненный, симметричный по обеим осям крупный диагональный крест со скругленными концами красного цвета.</w:t>
      </w:r>
    </w:p>
    <w:bookmarkEnd w:id="107"/>
    <w:bookmarkStart w:name="z114" w:id="108"/>
    <w:p>
      <w:pPr>
        <w:spacing w:after="0"/>
        <w:ind w:left="0"/>
        <w:jc w:val="both"/>
      </w:pPr>
      <w:r>
        <w:rPr>
          <w:rFonts w:ascii="Times New Roman"/>
          <w:b w:val="false"/>
          <w:i w:val="false"/>
          <w:color w:val="000000"/>
          <w:sz w:val="28"/>
        </w:rPr>
        <w:t>
      Товарный знак № 62812 представляет собой словесный товарный знак "HOOKAHPLACE", выполненный стандартным латинским шрифтом.</w:t>
      </w:r>
    </w:p>
    <w:bookmarkEnd w:id="108"/>
    <w:bookmarkStart w:name="z115" w:id="109"/>
    <w:p>
      <w:pPr>
        <w:spacing w:after="0"/>
        <w:ind w:left="0"/>
        <w:jc w:val="both"/>
      </w:pPr>
      <w:r>
        <w:rPr>
          <w:rFonts w:ascii="Times New Roman"/>
          <w:b w:val="false"/>
          <w:i w:val="false"/>
          <w:color w:val="000000"/>
          <w:sz w:val="28"/>
        </w:rPr>
        <w:t>
      Если проводить анализ сходства сравниваемых товарных знаков по признаку фонетического сходства, можно сделать вывод, что сравниваемые словесные обозначения, присутствующие в указанных товарных знаках, являются фонетически тождественными: "ХУКАПЛЭЙС" – "ХУКАПЛЭЙС", так как при раздельном написании словесного обозначения "HOOKAH PLACE" данное обозначение все равно читается и слышится так же как и при слитном написании.</w:t>
      </w:r>
    </w:p>
    <w:bookmarkEnd w:id="109"/>
    <w:bookmarkStart w:name="z116" w:id="110"/>
    <w:p>
      <w:pPr>
        <w:spacing w:after="0"/>
        <w:ind w:left="0"/>
        <w:jc w:val="both"/>
      </w:pPr>
      <w:r>
        <w:rPr>
          <w:rFonts w:ascii="Times New Roman"/>
          <w:b w:val="false"/>
          <w:i w:val="false"/>
          <w:color w:val="000000"/>
          <w:sz w:val="28"/>
        </w:rPr>
        <w:t>
      Сравнение товарных знаков по семантическому признаку приводит к следующим выводам: "HOOKAH PLACE" является осмысленным и грамматически корректным словосочетанием на английском языке и переводится как кальянное место. Словесное обозначение "HOOKAHPLACE" формально является фантазийным (не существующим), вымышленным словом, однако является тем же самым словосочетанием, но написанным слитно, так как никаких других вариантов разбить это словосочетание на другие осмысленные части нет возможности, равно как оно ничего не означает при слитном написании ни в одном языке мира. Таким образом, можно говорить о семантическом сходстве до степени смешения.</w:t>
      </w:r>
    </w:p>
    <w:bookmarkEnd w:id="110"/>
    <w:bookmarkStart w:name="z117" w:id="111"/>
    <w:p>
      <w:pPr>
        <w:spacing w:after="0"/>
        <w:ind w:left="0"/>
        <w:jc w:val="both"/>
      </w:pPr>
      <w:r>
        <w:rPr>
          <w:rFonts w:ascii="Times New Roman"/>
          <w:b w:val="false"/>
          <w:i w:val="false"/>
          <w:color w:val="000000"/>
          <w:sz w:val="28"/>
        </w:rPr>
        <w:t>
       Если сравнивать словесные обозначения по признаку графического сходства, можно сделать следующие выводы: во всех вариантах они черного цвета и выполнены стандартным латинским шрифтом, разница между ними неуловима для потребителя. Таким образом, можно говорить о графическом сходстве до степени смешения.</w:t>
      </w:r>
    </w:p>
    <w:bookmarkEnd w:id="111"/>
    <w:bookmarkStart w:name="z118" w:id="112"/>
    <w:p>
      <w:pPr>
        <w:spacing w:after="0"/>
        <w:ind w:left="0"/>
        <w:jc w:val="both"/>
      </w:pPr>
      <w:r>
        <w:rPr>
          <w:rFonts w:ascii="Times New Roman"/>
          <w:b w:val="false"/>
          <w:i w:val="false"/>
          <w:color w:val="000000"/>
          <w:sz w:val="28"/>
        </w:rPr>
        <w:t>
       Если рассматривать сходство словесных обозначений "HOOKAH PLACE" и "HOOKAHPLACE", можно говорить о том, что даже несмотря на отдельные незначительные отличия, сопоставимые словесные обозначения являются сходными до степени смешения и ассоциируются друг с другом.</w:t>
      </w:r>
    </w:p>
    <w:bookmarkEnd w:id="112"/>
    <w:bookmarkStart w:name="z119" w:id="113"/>
    <w:p>
      <w:pPr>
        <w:spacing w:after="0"/>
        <w:ind w:left="0"/>
        <w:jc w:val="both"/>
      </w:pPr>
      <w:r>
        <w:rPr>
          <w:rFonts w:ascii="Times New Roman"/>
          <w:b w:val="false"/>
          <w:i w:val="false"/>
          <w:color w:val="000000"/>
          <w:sz w:val="28"/>
        </w:rPr>
        <w:t>
      В отношении регистрации товарных знаков сторонами, отметим следующее.</w:t>
      </w:r>
    </w:p>
    <w:bookmarkEnd w:id="113"/>
    <w:bookmarkStart w:name="z120" w:id="114"/>
    <w:p>
      <w:pPr>
        <w:spacing w:after="0"/>
        <w:ind w:left="0"/>
        <w:jc w:val="both"/>
      </w:pPr>
      <w:r>
        <w:rPr>
          <w:rFonts w:ascii="Times New Roman"/>
          <w:b w:val="false"/>
          <w:i w:val="false"/>
          <w:color w:val="000000"/>
          <w:sz w:val="28"/>
        </w:rPr>
        <w:t>
      ООО "ХУКАПЛЕЙС" имеет 2 товарных знака в Российской Федерации и международный товарный знак со словесным обозначением "HOOKAH PLACE". Первая заявка на регистрацию товарного знака со словесным обозначением "HOOKAH PLACE" в Российской Федерации была подана 11 июля 2014 г., право на этот товарный знак ООО "Стадион" передало 22 сентября 2017 г. ООО "ХУКАПЛЕЙС". ООО "Брютс Н" использует 1 товарный знак в Республике Беларусь со словесным обозначением "HOOKAHPLACE", дата подачи заявки – 7 сентября 2017 г.</w:t>
      </w:r>
    </w:p>
    <w:bookmarkEnd w:id="114"/>
    <w:bookmarkStart w:name="z121" w:id="115"/>
    <w:p>
      <w:pPr>
        <w:spacing w:after="0"/>
        <w:ind w:left="0"/>
        <w:jc w:val="both"/>
      </w:pPr>
      <w:r>
        <w:rPr>
          <w:rFonts w:ascii="Times New Roman"/>
          <w:b w:val="false"/>
          <w:i w:val="false"/>
          <w:color w:val="000000"/>
          <w:sz w:val="28"/>
        </w:rPr>
        <w:t>
       Согласно выводам патентного поверенного Вдовкина Р.О. товарные знаки со словесными обозначениями "HOOKAH PLACE" и</w:t>
      </w:r>
      <w:r>
        <w:rPr>
          <w:rFonts w:ascii="Times New Roman"/>
          <w:b/>
          <w:i w:val="false"/>
          <w:color w:val="000000"/>
          <w:sz w:val="28"/>
        </w:rPr>
        <w:t xml:space="preserve"> "</w:t>
      </w:r>
      <w:r>
        <w:rPr>
          <w:rFonts w:ascii="Times New Roman"/>
          <w:b w:val="false"/>
          <w:i w:val="false"/>
          <w:color w:val="000000"/>
          <w:sz w:val="28"/>
        </w:rPr>
        <w:t>HOOKAHPLACE" являются сходными до степени смешения как по отдельным признакам, так и в целом, однородный перечень товаров и услуг создает условия для смешения указанных обозначений и введения в заблуждение потребителей и контрагентов. </w:t>
      </w:r>
    </w:p>
    <w:bookmarkEnd w:id="115"/>
    <w:bookmarkStart w:name="z122" w:id="116"/>
    <w:p>
      <w:pPr>
        <w:spacing w:after="0"/>
        <w:ind w:left="0"/>
        <w:jc w:val="both"/>
      </w:pPr>
      <w:r>
        <w:rPr>
          <w:rFonts w:ascii="Times New Roman"/>
          <w:b w:val="false"/>
          <w:i w:val="false"/>
          <w:color w:val="000000"/>
          <w:sz w:val="28"/>
        </w:rPr>
        <w:t>
      Регистрация и использование ООО "Брютс Н" товарного знака № 62812 приводят к смешению его услуг и услуг заявителей (их партнеров) на белорусском рынке, введению в заблуждение потребителей и покупателей таких услуг относительно лица, оказывающего услуги.</w:t>
      </w:r>
    </w:p>
    <w:bookmarkEnd w:id="116"/>
    <w:bookmarkStart w:name="z123" w:id="117"/>
    <w:p>
      <w:pPr>
        <w:spacing w:after="0"/>
        <w:ind w:left="0"/>
        <w:jc w:val="both"/>
      </w:pPr>
      <w:r>
        <w:rPr>
          <w:rFonts w:ascii="Times New Roman"/>
          <w:b w:val="false"/>
          <w:i w:val="false"/>
          <w:color w:val="000000"/>
          <w:sz w:val="28"/>
        </w:rPr>
        <w:t xml:space="preserve">
      Таким образом, ООО "Брютс Н" могло получать преимущества в предпринимательской деятельности. </w:t>
      </w:r>
    </w:p>
    <w:bookmarkEnd w:id="117"/>
    <w:bookmarkStart w:name="z124" w:id="118"/>
    <w:p>
      <w:pPr>
        <w:spacing w:after="0"/>
        <w:ind w:left="0"/>
        <w:jc w:val="both"/>
      </w:pPr>
      <w:r>
        <w:rPr>
          <w:rFonts w:ascii="Times New Roman"/>
          <w:b w:val="false"/>
          <w:i w:val="false"/>
          <w:color w:val="000000"/>
          <w:sz w:val="28"/>
        </w:rPr>
        <w:t>
      Из совокупного анализа всего вышеизложенного можно сделать следующие выводы, подтверждающие наличие вины в действиях ООО "Брютс Н":</w:t>
      </w:r>
    </w:p>
    <w:bookmarkEnd w:id="118"/>
    <w:bookmarkStart w:name="z125" w:id="119"/>
    <w:p>
      <w:pPr>
        <w:spacing w:after="0"/>
        <w:ind w:left="0"/>
        <w:jc w:val="both"/>
      </w:pPr>
      <w:r>
        <w:rPr>
          <w:rFonts w:ascii="Times New Roman"/>
          <w:b w:val="false"/>
          <w:i w:val="false"/>
          <w:color w:val="000000"/>
          <w:sz w:val="28"/>
        </w:rPr>
        <w:t>
      ООО "Брютс Н" зарегистрировало сайт https://hookahplace.net (дата регистрации – 9 августа 2018 г.) сходный до степени смешения с сайтом заявителей https://hookahplace.ru (регистрация – 2013 год);</w:t>
      </w:r>
    </w:p>
    <w:bookmarkEnd w:id="119"/>
    <w:bookmarkStart w:name="z126" w:id="120"/>
    <w:p>
      <w:pPr>
        <w:spacing w:after="0"/>
        <w:ind w:left="0"/>
        <w:jc w:val="both"/>
      </w:pPr>
      <w:r>
        <w:rPr>
          <w:rFonts w:ascii="Times New Roman"/>
          <w:b w:val="false"/>
          <w:i w:val="false"/>
          <w:color w:val="000000"/>
          <w:sz w:val="28"/>
        </w:rPr>
        <w:t>
      ООО "Брютс Н" зарегистрировало товарный знак № 62812 со словесным обозначением "HOOKAHPLACE", которое сходно до степени смешения со словесным обозначением "HOOKAH PLACE", используемым заявителями в товарных знаках № 555903, № 1499464 и № 789551 (данное сходство подтверждает экспертиза, проведенная патентным поверенным Вдовкиным Р.О.);</w:t>
      </w:r>
    </w:p>
    <w:bookmarkEnd w:id="120"/>
    <w:bookmarkStart w:name="z127" w:id="121"/>
    <w:p>
      <w:pPr>
        <w:spacing w:after="0"/>
        <w:ind w:left="0"/>
        <w:jc w:val="both"/>
      </w:pPr>
      <w:r>
        <w:rPr>
          <w:rFonts w:ascii="Times New Roman"/>
          <w:b w:val="false"/>
          <w:i w:val="false"/>
          <w:color w:val="000000"/>
          <w:sz w:val="28"/>
        </w:rPr>
        <w:t>
       ООО "Брютс Н" так и не представило сведения (информацию, документы), подтверждающие наличие у него авторских прав на словесное обозначение "HOOKAHPLACE", при этом заявители такие сведения (информацию, документы) представили;</w:t>
      </w:r>
    </w:p>
    <w:bookmarkEnd w:id="121"/>
    <w:bookmarkStart w:name="z128" w:id="122"/>
    <w:p>
      <w:pPr>
        <w:spacing w:after="0"/>
        <w:ind w:left="0"/>
        <w:jc w:val="both"/>
      </w:pPr>
      <w:r>
        <w:rPr>
          <w:rFonts w:ascii="Times New Roman"/>
          <w:b w:val="false"/>
          <w:i w:val="false"/>
          <w:color w:val="000000"/>
          <w:sz w:val="28"/>
        </w:rPr>
        <w:t>
      ООО "Брютс Н" направляло претензии партнеру заявителей, в том числе с требованием прекратить использование словесного обозначения "HOOKAH PLACE", что является противодействием деятельности конкурентов (заявителей и их партнерам) на одном товарном рынке.</w:t>
      </w:r>
    </w:p>
    <w:bookmarkEnd w:id="122"/>
    <w:bookmarkStart w:name="z129" w:id="123"/>
    <w:p>
      <w:pPr>
        <w:spacing w:after="0"/>
        <w:ind w:left="0"/>
        <w:jc w:val="both"/>
      </w:pPr>
      <w:r>
        <w:rPr>
          <w:rFonts w:ascii="Times New Roman"/>
          <w:b w:val="false"/>
          <w:i w:val="false"/>
          <w:color w:val="000000"/>
          <w:sz w:val="28"/>
        </w:rPr>
        <w:t xml:space="preserve">
      Согласно пункту 1 </w:t>
      </w:r>
      <w:r>
        <w:rPr>
          <w:rFonts w:ascii="Times New Roman"/>
          <w:b w:val="false"/>
          <w:i w:val="false"/>
          <w:color w:val="000000"/>
          <w:sz w:val="28"/>
        </w:rPr>
        <w:t>статьи 74</w:t>
      </w:r>
      <w:r>
        <w:rPr>
          <w:rFonts w:ascii="Times New Roman"/>
          <w:b w:val="false"/>
          <w:i w:val="false"/>
          <w:color w:val="000000"/>
          <w:sz w:val="28"/>
        </w:rPr>
        <w:t xml:space="preserve"> Договора общие принципы и правила конкуренции направлены на обеспечение, выявление и пресечение действий, оказывающих негативное влияние на конкуренцию на трансграничных рынках на территориях 2 и более государств-членов.</w:t>
      </w:r>
    </w:p>
    <w:bookmarkEnd w:id="123"/>
    <w:bookmarkStart w:name="z130" w:id="124"/>
    <w:p>
      <w:pPr>
        <w:spacing w:after="0"/>
        <w:ind w:left="0"/>
        <w:jc w:val="both"/>
      </w:pPr>
      <w:r>
        <w:rPr>
          <w:rFonts w:ascii="Times New Roman"/>
          <w:b w:val="false"/>
          <w:i w:val="false"/>
          <w:color w:val="000000"/>
          <w:sz w:val="28"/>
        </w:rPr>
        <w:t>
      Согласно подпункту 8 пункта 2 Протокола конкуренция определяется как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bookmarkEnd w:id="124"/>
    <w:bookmarkStart w:name="z131" w:id="125"/>
    <w:p>
      <w:pPr>
        <w:spacing w:after="0"/>
        <w:ind w:left="0"/>
        <w:jc w:val="both"/>
      </w:pPr>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76</w:t>
      </w:r>
      <w:r>
        <w:rPr>
          <w:rFonts w:ascii="Times New Roman"/>
          <w:b w:val="false"/>
          <w:i w:val="false"/>
          <w:color w:val="000000"/>
          <w:sz w:val="28"/>
        </w:rPr>
        <w:t xml:space="preserve"> Договора не допускается недобросовестная конкуренция, в том числе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w:t>
      </w:r>
    </w:p>
    <w:bookmarkEnd w:id="125"/>
    <w:bookmarkStart w:name="z132" w:id="126"/>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76</w:t>
      </w:r>
      <w:r>
        <w:rPr>
          <w:rFonts w:ascii="Times New Roman"/>
          <w:b w:val="false"/>
          <w:i w:val="false"/>
          <w:color w:val="000000"/>
          <w:sz w:val="28"/>
        </w:rPr>
        <w:t xml:space="preserve"> Договора содержит открытый перечень возможных видов недобросовестной конкуренции и не является исчерпывающим, в связи с чем недобросовестной конкуренцией могут признаваться любые иные действия, отвечающие положениям подпункта 14 пункта 2 Протокола.</w:t>
      </w:r>
    </w:p>
    <w:bookmarkEnd w:id="126"/>
    <w:bookmarkStart w:name="z133" w:id="127"/>
    <w:p>
      <w:pPr>
        <w:spacing w:after="0"/>
        <w:ind w:left="0"/>
        <w:jc w:val="both"/>
      </w:pPr>
      <w:r>
        <w:rPr>
          <w:rFonts w:ascii="Times New Roman"/>
          <w:b w:val="false"/>
          <w:i w:val="false"/>
          <w:color w:val="000000"/>
          <w:sz w:val="28"/>
        </w:rPr>
        <w:t>
      Основываясь на праве Союза в сфере конкуренции и фактических обстоятельствах дела, комиссия по рассмотрению дела пришла к выводу, что действия ООО "Брютс Н" (в своей совокупности), выраженные в введении в заблуждение потребителей в отношении производителя услуг, направлены на приобретение преимуществ в предпринимательской деятельности и противоречат законодательству государств-членов, Договору, обычаям делового оборота, требованиям добропорядочности, разумности и справедливости, причинили и могут причинить убытки заявителям и другим хозяйствующим субъектам (субъектам рынка) – конкурентам, а также нанесли и могут нанести вред их деловой репутации.</w:t>
      </w:r>
    </w:p>
    <w:bookmarkEnd w:id="127"/>
    <w:bookmarkStart w:name="z134" w:id="128"/>
    <w:p>
      <w:pPr>
        <w:spacing w:after="0"/>
        <w:ind w:left="0"/>
        <w:jc w:val="both"/>
      </w:pPr>
      <w:r>
        <w:rPr>
          <w:rFonts w:ascii="Times New Roman"/>
          <w:b w:val="false"/>
          <w:i w:val="false"/>
          <w:color w:val="000000"/>
          <w:sz w:val="28"/>
        </w:rPr>
        <w:t>
      Согласно абзацу второму подпункта 5 пункта 16 Протокола под должностными лицами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w:t>
      </w:r>
    </w:p>
    <w:bookmarkEnd w:id="128"/>
    <w:bookmarkStart w:name="z135" w:id="129"/>
    <w:p>
      <w:pPr>
        <w:spacing w:after="0"/>
        <w:ind w:left="0"/>
        <w:jc w:val="both"/>
      </w:pPr>
      <w:r>
        <w:rPr>
          <w:rFonts w:ascii="Times New Roman"/>
          <w:b w:val="false"/>
          <w:i w:val="false"/>
          <w:color w:val="000000"/>
          <w:sz w:val="28"/>
        </w:rPr>
        <w:t xml:space="preserve">
      Так, привлеченный в качестве ответчика по делу Григорян Т.Г., являясь единоличным исполнительным органом ООО "Брютс Н" в период нарушения имел, возможность для соблюдения положений права Союза в сфере антимонопольного регулирования и прекращения недобросовестного поведения на товарном рынке услуг, однако не принял необходимых и достаточных мер по их соблюдению, тем самым нарушив запрет, установленный подпунктом 2 пункта 2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129"/>
    <w:bookmarkStart w:name="z136" w:id="130"/>
    <w:p>
      <w:pPr>
        <w:spacing w:after="0"/>
        <w:ind w:left="0"/>
        <w:jc w:val="both"/>
      </w:pPr>
      <w:r>
        <w:rPr>
          <w:rFonts w:ascii="Times New Roman"/>
          <w:b w:val="false"/>
          <w:i w:val="false"/>
          <w:color w:val="000000"/>
          <w:sz w:val="28"/>
        </w:rPr>
        <w:t xml:space="preserve">
      В рамках рассмотрения дела ООО "Брютс Н" и его генеральному директору Григоряну Т.Г. обеспечена возможность реализации всех прав, предусмотренных пунктом 13 Порядка рассмотрения дел. Кроме того, у них были запрошены пояснения по делу (с просьбой представить доводы относительно наличия в их действиях нарушений общих правил конкуренции на трансграничных рынках), а также позиции о согласии или несогласии с возможным нарушением пункта 2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130"/>
    <w:bookmarkStart w:name="z137" w:id="131"/>
    <w:p>
      <w:pPr>
        <w:spacing w:after="0"/>
        <w:ind w:left="0"/>
        <w:jc w:val="both"/>
      </w:pPr>
      <w:r>
        <w:rPr>
          <w:rFonts w:ascii="Times New Roman"/>
          <w:b w:val="false"/>
          <w:i w:val="false"/>
          <w:color w:val="000000"/>
          <w:sz w:val="28"/>
        </w:rPr>
        <w:t>
      Республиканское унитарное предприятие почтовой связи "Белпочта" письмом от 20 июня 2023 г. № 12-17/3703 (вх. № 11475 от 29 июня 2023 г.) сообщило о том, что ООО "Брютс Н" арендуется по заявлению-обязательству от 10 июня 2019 г. № 140 абонементный ящик № 140 в отделении почтовой связи. Последняя оплата за аренду абонементного ящика произведена за период (пользования) с января 2023 г. по июнь 2023 г. В связи с этим уведомление адресата о поступлении регистрируемых почтовых отправлений осуществлялось путем опускания извещения в абонементный ящик № 140 в день поступления писем.</w:t>
      </w:r>
    </w:p>
    <w:bookmarkEnd w:id="131"/>
    <w:bookmarkStart w:name="z138" w:id="132"/>
    <w:p>
      <w:pPr>
        <w:spacing w:after="0"/>
        <w:ind w:left="0"/>
        <w:jc w:val="both"/>
      </w:pPr>
      <w:r>
        <w:rPr>
          <w:rFonts w:ascii="Times New Roman"/>
          <w:b w:val="false"/>
          <w:i w:val="false"/>
          <w:color w:val="000000"/>
          <w:sz w:val="28"/>
        </w:rPr>
        <w:t>
      Таким образом, ООО "Брютс Н" и его генеральный директор Григорян Т.Г. были надлежащим образом осведомлены о времени и месте проведения заседаний комиссии по рассмотрению дела и имели возможность реализовать права на предоставление своей позиции по делу и защиту своих прав и интересов.</w:t>
      </w:r>
    </w:p>
    <w:bookmarkEnd w:id="132"/>
    <w:bookmarkStart w:name="z139" w:id="133"/>
    <w:p>
      <w:pPr>
        <w:spacing w:after="0"/>
        <w:ind w:left="0"/>
        <w:jc w:val="both"/>
      </w:pPr>
      <w:r>
        <w:rPr>
          <w:rFonts w:ascii="Times New Roman"/>
          <w:b w:val="false"/>
          <w:i w:val="false"/>
          <w:color w:val="000000"/>
          <w:sz w:val="28"/>
        </w:rPr>
        <w:t xml:space="preserve">
      Вместе с тем ООО "Брютс Н" и его генеральным директором Григоряном Т.Г. не были представлены письменные позиции о согласии или несогласии с нарушением общих правил конкуренции на трансграничных рынках, а также доводы, возражения и иная информация. </w:t>
      </w:r>
    </w:p>
    <w:bookmarkEnd w:id="133"/>
    <w:bookmarkStart w:name="z140" w:id="134"/>
    <w:p>
      <w:pPr>
        <w:spacing w:after="0"/>
        <w:ind w:left="0"/>
        <w:jc w:val="both"/>
      </w:pPr>
      <w:r>
        <w:rPr>
          <w:rFonts w:ascii="Times New Roman"/>
          <w:b w:val="false"/>
          <w:i w:val="false"/>
          <w:color w:val="000000"/>
          <w:sz w:val="28"/>
        </w:rPr>
        <w:t xml:space="preserve">
      Также в рамках рассмотрения дела поступили письменные позиции, доводы и иная информация, полученные от уполномоченных органов, которые были приобщены к материалам дела, рассмотрены и получили надлежащую оценку. </w:t>
      </w:r>
    </w:p>
    <w:bookmarkEnd w:id="134"/>
    <w:bookmarkStart w:name="z141" w:id="135"/>
    <w:p>
      <w:pPr>
        <w:spacing w:after="0"/>
        <w:ind w:left="0"/>
        <w:jc w:val="both"/>
      </w:pPr>
      <w:r>
        <w:rPr>
          <w:rFonts w:ascii="Times New Roman"/>
          <w:b w:val="false"/>
          <w:i w:val="false"/>
          <w:color w:val="000000"/>
          <w:sz w:val="28"/>
        </w:rPr>
        <w:t>
      На основании изложенного установлено, что нарушение ООО "Брютс Н" общих правил конкуренции на трансграничном рынке выражается в совершении действий, направленных на введение в заблуждение потребителей (контрагентов) в отношении производителя услуг.</w:t>
      </w:r>
    </w:p>
    <w:bookmarkEnd w:id="135"/>
    <w:bookmarkStart w:name="z142" w:id="136"/>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ООО "Брютс Н" и его генерального директора Григоряна Т.Г. нашла подтверждение, а их действия верно квалифицированы в соответствии с подпунктом 2 пункта 2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136"/>
    <w:bookmarkStart w:name="z143" w:id="1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учитывая отсутствие в действиях ООО "Брютс Н" и его генерального директора Григоряна Т.Г.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штрафа за нарушение общих правил конкуренции на трансграничных рынках (приложение № 1 к указанной Методике), и обстоятельств, отягчающих ответственность, предусмотренных указанным перечнем, выразившихся в длящемся (в течение 1 года и более) нарушении правонарушителями правил конкуренции, назначить ООО "Брютс Н" и его генеральному директору Григоряну Т.Г. штраф.</w:t>
      </w:r>
    </w:p>
    <w:bookmarkEnd w:id="137"/>
    <w:bookmarkStart w:name="z144" w:id="138"/>
    <w:p>
      <w:pPr>
        <w:spacing w:after="0"/>
        <w:ind w:left="0"/>
        <w:jc w:val="both"/>
      </w:pPr>
      <w:r>
        <w:rPr>
          <w:rFonts w:ascii="Times New Roman"/>
          <w:b w:val="false"/>
          <w:i w:val="false"/>
          <w:color w:val="000000"/>
          <w:sz w:val="28"/>
        </w:rPr>
        <w:t xml:space="preserve">
      В связи с установлением факта нарушения подпункта 2 пункта 2 </w:t>
      </w:r>
      <w:r>
        <w:rPr>
          <w:rFonts w:ascii="Times New Roman"/>
          <w:b w:val="false"/>
          <w:i w:val="false"/>
          <w:color w:val="000000"/>
          <w:sz w:val="28"/>
        </w:rPr>
        <w:t>статьи 76</w:t>
      </w:r>
      <w:r>
        <w:rPr>
          <w:rFonts w:ascii="Times New Roman"/>
          <w:b w:val="false"/>
          <w:i w:val="false"/>
          <w:color w:val="000000"/>
          <w:sz w:val="28"/>
        </w:rPr>
        <w:t xml:space="preserve"> Договора, руководствуясь пунктом 45 Порядка рассмотрения дел, Коллегия Комиссии считает необходимым обязать ООО "Брютс Н" совершить действия по пресечению нарушения общих правил конкуренции на трансграничных рынках и (или) устранению его последствий, предусмотренные пунктом 4 Решения Коллегии Евразийской экономической комиссии от 21 ноября 2023 г. № 164. </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