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ba4f" w14:textId="97bb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межведомственной рабочей группы по взаимному признанию электронной цифровой подписи, изготовленной в соответствии с законодательством одного государства – члена Евразийского экономического союза, другим государством-членом в целях исполнения раздела XXII Договора о Евразийском экономическом союзе от 29 мая 2014 года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5 декабря 2023 года № 181.</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межведомственной рабочей группы по взаимному признанию электронной цифровой подписи, изготовленной в соответствии с законодательством одного государства – члена Евразийского экономического союза, другим государством-членом в целях исполнения раздела XXII Договора о Евразийском экономическом союзе от 29 мая 2014 года, утвержденный Решением Совета Евразийской экономической комиссии от 23 ноября 2012 г. № 95,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рабочей группы следующих лиц:</w:t>
      </w:r>
    </w:p>
    <w:bookmarkEnd w:id="1"/>
    <w:bookmarkStart w:name="z6" w:id="2"/>
    <w:p>
      <w:pPr>
        <w:spacing w:after="0"/>
        <w:ind w:left="0"/>
        <w:jc w:val="both"/>
      </w:pPr>
      <w:r>
        <w:rPr>
          <w:rFonts w:ascii="Times New Roman"/>
          <w:b w:val="false"/>
          <w:i w:val="false"/>
          <w:color w:val="000000"/>
          <w:sz w:val="28"/>
        </w:rPr>
        <w:t>
      От Республики Армения</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Енокян</w:t>
            </w:r>
          </w:p>
          <w:bookmarkEnd w:id="3"/>
          <w:p>
            <w:pPr>
              <w:spacing w:after="20"/>
              <w:ind w:left="20"/>
              <w:jc w:val="both"/>
            </w:pPr>
            <w:r>
              <w:rPr>
                <w:rFonts w:ascii="Times New Roman"/>
                <w:b w:val="false"/>
                <w:i w:val="false"/>
                <w:color w:val="000000"/>
                <w:sz w:val="20"/>
              </w:rPr>
              <w:t>
Лендруш Хачикович</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xml:space="preserve">
сотрудник Службы национальной безопасности Республики Армения </w:t>
            </w:r>
          </w:p>
          <w:bookmarkEnd w:id="4"/>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Манукян</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Люсине Нуриджановна</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специалист Управления цифровизации Министерства высокотехнологической промышленности Республики Армения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2460" w:type="dxa"/>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Хилькевич</w:t>
            </w:r>
          </w:p>
          <w:bookmarkEnd w:id="6"/>
          <w:p>
            <w:pPr>
              <w:spacing w:after="20"/>
              <w:ind w:left="20"/>
              <w:jc w:val="both"/>
            </w:pPr>
            <w:r>
              <w:rPr>
                <w:rFonts w:ascii="Times New Roman"/>
                <w:b w:val="false"/>
                <w:i w:val="false"/>
                <w:color w:val="000000"/>
                <w:sz w:val="20"/>
              </w:rPr>
              <w:t>
Сергей Николаевич</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удостоверяющего центра информационного республиканского унитарного предприятия "Национальный центр маркетинга и конъюнктуры цен"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2460" w:type="dxa"/>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xml:space="preserve">
Айсенова </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Анжела Сагандыковна </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проектов департамента электронной коммерции акционерного общества "Центр электронных финансов"</w:t>
            </w:r>
          </w:p>
        </w:tc>
      </w:tr>
      <w:tr>
        <w:trPr>
          <w:trHeight w:val="30" w:hRule="atLeast"/>
        </w:trPr>
        <w:tc>
          <w:tcPr>
            <w:tcW w:w="2460" w:type="dxa"/>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xml:space="preserve">
Касымбеков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Талгат Тенгебаевич</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акционерного общества "Центр электронных финансов"</w:t>
            </w:r>
          </w:p>
        </w:tc>
      </w:tr>
      <w:tr>
        <w:trPr>
          <w:trHeight w:val="30" w:hRule="atLeast"/>
        </w:trPr>
        <w:tc>
          <w:tcPr>
            <w:tcW w:w="2460" w:type="dxa"/>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Мухамеджанова</w:t>
            </w:r>
          </w:p>
          <w:bookmarkEnd w:id="9"/>
          <w:p>
            <w:pPr>
              <w:spacing w:after="20"/>
              <w:ind w:left="20"/>
              <w:jc w:val="both"/>
            </w:pPr>
            <w:r>
              <w:rPr>
                <w:rFonts w:ascii="Times New Roman"/>
                <w:b w:val="false"/>
                <w:i w:val="false"/>
                <w:color w:val="000000"/>
                <w:sz w:val="20"/>
              </w:rPr>
              <w:t>
Камила Адылхановна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Министерства торговли и интеграции Республики Казахстан</w:t>
            </w:r>
          </w:p>
        </w:tc>
      </w:tr>
      <w:tr>
        <w:trPr>
          <w:trHeight w:val="30" w:hRule="atLeast"/>
        </w:trPr>
        <w:tc>
          <w:tcPr>
            <w:tcW w:w="2460" w:type="dxa"/>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xml:space="preserve">
Оспанова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Диана Дулатовна </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2460" w:type="dxa"/>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Исмаилов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Султанбек Искендербекович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отдела регулирования электронной подписи и аккредитации Министерства цифрового развития Кыргызской Республики</w:t>
            </w:r>
          </w:p>
        </w:tc>
      </w:tr>
      <w:tr>
        <w:trPr>
          <w:trHeight w:val="30" w:hRule="atLeast"/>
        </w:trPr>
        <w:tc>
          <w:tcPr>
            <w:tcW w:w="2460" w:type="dxa"/>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xml:space="preserve">
Карыпбеков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Дастан Жеенбекович</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Государственного комитета национальной безопасности Кыргызской Республики</w:t>
            </w:r>
          </w:p>
        </w:tc>
      </w:tr>
      <w:tr>
        <w:trPr>
          <w:trHeight w:val="30" w:hRule="atLeast"/>
        </w:trPr>
        <w:tc>
          <w:tcPr>
            <w:tcW w:w="2460" w:type="dxa"/>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xml:space="preserve">
Мягков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Михаил Александрович </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сектора корневого удостоверяющего центра государственного предприятия "Инфоком" при Министерстве цифрового развития Кыргызской Республики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2460" w:type="dxa"/>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Бабушкина</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Анастасия Александровна</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бюджетной политики в сфере контрактной системы Министерства финансов Российской Федерации</w:t>
            </w:r>
          </w:p>
        </w:tc>
      </w:tr>
      <w:tr>
        <w:trPr>
          <w:trHeight w:val="30" w:hRule="atLeast"/>
        </w:trPr>
        <w:tc>
          <w:tcPr>
            <w:tcW w:w="2460" w:type="dxa"/>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xml:space="preserve">
Демидов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Виталий Владимирович</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советник Департамента евразийской интеграции Министерства экономического развития Российской Федерации</w:t>
            </w:r>
          </w:p>
        </w:tc>
      </w:tr>
      <w:tr>
        <w:trPr>
          <w:trHeight w:val="30" w:hRule="atLeast"/>
        </w:trPr>
        <w:tc>
          <w:tcPr>
            <w:tcW w:w="2460" w:type="dxa"/>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Еременко</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Владимир Борисович</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проектного управления Управления развития контрактной системы Федерального казначейства</w:t>
            </w:r>
          </w:p>
        </w:tc>
      </w:tr>
      <w:tr>
        <w:trPr>
          <w:trHeight w:val="30" w:hRule="atLeast"/>
        </w:trPr>
        <w:tc>
          <w:tcPr>
            <w:tcW w:w="2460" w:type="dxa"/>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Курских</w:t>
            </w:r>
          </w:p>
          <w:bookmarkEnd w:id="17"/>
          <w:p>
            <w:pPr>
              <w:spacing w:after="20"/>
              <w:ind w:left="20"/>
              <w:jc w:val="both"/>
            </w:pPr>
            <w:r>
              <w:rPr>
                <w:rFonts w:ascii="Times New Roman"/>
                <w:b w:val="false"/>
                <w:i w:val="false"/>
                <w:color w:val="000000"/>
                <w:sz w:val="20"/>
              </w:rPr>
              <w:t>
Екатерина Александровна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международного сотрудничества в сфере закупок Департамента бюджетной политики </w:t>
            </w:r>
          </w:p>
          <w:p>
            <w:pPr>
              <w:spacing w:after="20"/>
              <w:ind w:left="20"/>
              <w:jc w:val="both"/>
            </w:pPr>
            <w:r>
              <w:rPr>
                <w:rFonts w:ascii="Times New Roman"/>
                <w:b w:val="false"/>
                <w:i w:val="false"/>
                <w:color w:val="000000"/>
                <w:sz w:val="20"/>
              </w:rPr>
              <w:t xml:space="preserve">в сфере контрактной системы Министерства финансов Российской Федерации </w:t>
            </w:r>
          </w:p>
        </w:tc>
      </w:tr>
      <w:tr>
        <w:trPr>
          <w:trHeight w:val="30" w:hRule="atLeast"/>
        </w:trPr>
        <w:tc>
          <w:tcPr>
            <w:tcW w:w="2460" w:type="dxa"/>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xml:space="preserve">
Милованов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Алексей Евгеньевич</w:t>
            </w:r>
          </w:p>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начальник отдела единой экономической политики в ЕАЭС Департамента евразийской интеграции Министерства экономического развития Российской Федерации;</w:t>
            </w:r>
          </w:p>
          <w:bookmarkEnd w:id="19"/>
          <w:p>
            <w:pPr>
              <w:spacing w:after="20"/>
              <w:ind w:left="20"/>
              <w:jc w:val="both"/>
            </w:pPr>
            <w:r>
              <w:rPr>
                <w:rFonts w:ascii="Times New Roman"/>
                <w:b w:val="false"/>
                <w:i w:val="false"/>
                <w:color w:val="000000"/>
                <w:sz w:val="20"/>
              </w:rPr>
              <w:t>
 </w:t>
            </w:r>
          </w:p>
        </w:tc>
      </w:tr>
    </w:tbl>
    <w:bookmarkStart w:name="z35" w:id="20"/>
    <w:p>
      <w:pPr>
        <w:spacing w:after="0"/>
        <w:ind w:left="0"/>
        <w:jc w:val="both"/>
      </w:pPr>
      <w:r>
        <w:rPr>
          <w:rFonts w:ascii="Times New Roman"/>
          <w:b w:val="false"/>
          <w:i w:val="false"/>
          <w:color w:val="000000"/>
          <w:sz w:val="28"/>
        </w:rPr>
        <w:t>
      б) указать новые должности следующих членов рабочей группы: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xml:space="preserve">
Вабищевич </w:t>
            </w:r>
          </w:p>
          <w:bookmarkEnd w:id="21"/>
          <w:p>
            <w:pPr>
              <w:spacing w:after="20"/>
              <w:ind w:left="20"/>
              <w:jc w:val="both"/>
            </w:pPr>
            <w:r>
              <w:rPr>
                <w:rFonts w:ascii="Times New Roman"/>
                <w:b w:val="false"/>
                <w:i w:val="false"/>
                <w:color w:val="000000"/>
                <w:sz w:val="20"/>
              </w:rPr>
              <w:t>
Виталий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департамента правового обеспечения и цифровых технологий Белорусской торгово-промышленной палаты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Джунушов</w:t>
            </w:r>
          </w:p>
          <w:bookmarkEnd w:id="22"/>
          <w:p>
            <w:pPr>
              <w:spacing w:after="20"/>
              <w:ind w:left="20"/>
              <w:jc w:val="both"/>
            </w:pPr>
            <w:r>
              <w:rPr>
                <w:rFonts w:ascii="Times New Roman"/>
                <w:b w:val="false"/>
                <w:i w:val="false"/>
                <w:color w:val="000000"/>
                <w:sz w:val="20"/>
              </w:rPr>
              <w:t>
Бакыт Аманжанович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методологии Департамента государственных закупок при Министерстве финансов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Мамбетказиев</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Нурлан Тынымсеитович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регулирования электронной подписи и аккредитации Министерства цифрового развития Кыргызской Республики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xml:space="preserve">
Демидов </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Евгений Геннадьевич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Межрегионального контрактного управления Федерального казначейства; </w:t>
            </w:r>
          </w:p>
        </w:tc>
      </w:tr>
    </w:tbl>
    <w:bookmarkStart w:name="z42" w:id="25"/>
    <w:p>
      <w:pPr>
        <w:spacing w:after="0"/>
        <w:ind w:left="0"/>
        <w:jc w:val="both"/>
      </w:pPr>
      <w:r>
        <w:rPr>
          <w:rFonts w:ascii="Times New Roman"/>
          <w:b w:val="false"/>
          <w:i w:val="false"/>
          <w:color w:val="000000"/>
          <w:sz w:val="28"/>
        </w:rPr>
        <w:t>
      в) исключить из состава рабочей группы Кочаряна Г.Л., Кутузова С.В., Аргын А.А., Болатбаева А.Т., Ергужиеву К.Р., Жунусова Р.С., Изтелеуова А.А., Каирбекову А.М., Акылбекова А. А., Исакову А.И., Кубанычбекова Т.К., Сердюкова С.С., Таалайбек кызы Э., Баклашкину А.Е., Гриненко А.В., Кудинкину Д.В. и Иванову Е.М.</w:t>
      </w:r>
    </w:p>
    <w:bookmarkEnd w:id="25"/>
    <w:bookmarkStart w:name="z43" w:id="26"/>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