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bba4f" w14:textId="97bba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состав межведомственной рабочей группы по взаимному признанию электронной цифровой подписи, изготовленной в соответствии с законодательством одного государства – члена Евразийского экономического союза, другим государством-членом в целях исполнения раздела XXII Договора о Евразийском экономическом союзе от 29 мая 2014 года</w:t>
      </w:r>
    </w:p>
    <w:p>
      <w:pPr>
        <w:spacing w:after="0"/>
        <w:ind w:left="0"/>
        <w:jc w:val="both"/>
      </w:pPr>
      <w:r>
        <w:rPr>
          <w:rFonts w:ascii="Times New Roman"/>
          <w:b w:val="false"/>
          <w:i w:val="false"/>
          <w:color w:val="000000"/>
          <w:sz w:val="28"/>
        </w:rPr>
        <w:t>Распоряжение Коллегии Евразийской экономической комиссии от 5 декабря 2023 года № 181.</w:t>
      </w:r>
    </w:p>
    <w:p>
      <w:pPr>
        <w:spacing w:after="0"/>
        <w:ind w:left="0"/>
        <w:jc w:val="left"/>
      </w:pPr>
    </w:p>
    <w:bookmarkStart w:name="z4"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состав</w:t>
      </w:r>
      <w:r>
        <w:rPr>
          <w:rFonts w:ascii="Times New Roman"/>
          <w:b w:val="false"/>
          <w:i w:val="false"/>
          <w:color w:val="000000"/>
          <w:sz w:val="28"/>
        </w:rPr>
        <w:t xml:space="preserve"> межведомственной рабочей группы по взаимному признанию электронной цифровой подписи, изготовленной в соответствии с законодательством одного государства – члена Евразийского экономического союза, другим государством-членом в целях исполнения раздела XXII Договора о Евразийском экономическом союзе от 29 мая 2014 года, утвержденный Решением Совета Евразийской экономической комиссии от 23 ноября 2012 г. № 95, следующие изменения:</w:t>
      </w:r>
    </w:p>
    <w:bookmarkEnd w:id="0"/>
    <w:bookmarkStart w:name="z5" w:id="1"/>
    <w:p>
      <w:pPr>
        <w:spacing w:after="0"/>
        <w:ind w:left="0"/>
        <w:jc w:val="both"/>
      </w:pPr>
      <w:r>
        <w:rPr>
          <w:rFonts w:ascii="Times New Roman"/>
          <w:b w:val="false"/>
          <w:i w:val="false"/>
          <w:color w:val="000000"/>
          <w:sz w:val="28"/>
        </w:rPr>
        <w:t>
      а) включить в состав рабочей группы следующих лиц:</w:t>
      </w:r>
    </w:p>
    <w:bookmarkEnd w:id="1"/>
    <w:bookmarkStart w:name="z6" w:id="2"/>
    <w:p>
      <w:pPr>
        <w:spacing w:after="0"/>
        <w:ind w:left="0"/>
        <w:jc w:val="both"/>
      </w:pPr>
      <w:r>
        <w:rPr>
          <w:rFonts w:ascii="Times New Roman"/>
          <w:b w:val="false"/>
          <w:i w:val="false"/>
          <w:color w:val="000000"/>
          <w:sz w:val="28"/>
        </w:rPr>
        <w:t>
      От Республики Армения</w:t>
      </w:r>
    </w:p>
    <w:bookmarkEnd w:id="2"/>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cMar>
              <w:top w:w="15" w:type="dxa"/>
              <w:left w:w="15" w:type="dxa"/>
              <w:bottom w:w="15" w:type="dxa"/>
              <w:right w:w="15" w:type="dxa"/>
            </w:tcMar>
            <w:vAlign w:val="center"/>
          </w:tcPr>
          <w:bookmarkStart w:name="z7" w:id="3"/>
          <w:p>
            <w:pPr>
              <w:spacing w:after="20"/>
              <w:ind w:left="20"/>
              <w:jc w:val="both"/>
            </w:pPr>
            <w:r>
              <w:rPr>
                <w:rFonts w:ascii="Times New Roman"/>
                <w:b w:val="false"/>
                <w:i w:val="false"/>
                <w:color w:val="000000"/>
                <w:sz w:val="20"/>
              </w:rPr>
              <w:t>
Енокян</w:t>
            </w:r>
          </w:p>
          <w:bookmarkEnd w:id="3"/>
          <w:p>
            <w:pPr>
              <w:spacing w:after="20"/>
              <w:ind w:left="20"/>
              <w:jc w:val="both"/>
            </w:pPr>
            <w:r>
              <w:rPr>
                <w:rFonts w:ascii="Times New Roman"/>
                <w:b w:val="false"/>
                <w:i w:val="false"/>
                <w:color w:val="000000"/>
                <w:sz w:val="20"/>
              </w:rPr>
              <w:t>
Лендруш Хачикович</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bookmarkStart w:name="z8" w:id="4"/>
          <w:p>
            <w:pPr>
              <w:spacing w:after="20"/>
              <w:ind w:left="20"/>
              <w:jc w:val="both"/>
            </w:pPr>
            <w:r>
              <w:rPr>
                <w:rFonts w:ascii="Times New Roman"/>
                <w:b w:val="false"/>
                <w:i w:val="false"/>
                <w:color w:val="000000"/>
                <w:sz w:val="20"/>
              </w:rPr>
              <w:t xml:space="preserve">
сотрудник Службы национальной безопасности Республики Армения </w:t>
            </w:r>
          </w:p>
          <w:bookmarkEnd w:id="4"/>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9" w:id="5"/>
          <w:p>
            <w:pPr>
              <w:spacing w:after="20"/>
              <w:ind w:left="20"/>
              <w:jc w:val="both"/>
            </w:pPr>
            <w:r>
              <w:rPr>
                <w:rFonts w:ascii="Times New Roman"/>
                <w:b w:val="false"/>
                <w:i w:val="false"/>
                <w:color w:val="000000"/>
                <w:sz w:val="20"/>
              </w:rPr>
              <w:t>
Манукян</w:t>
            </w:r>
          </w:p>
          <w:bookmarkEnd w:id="5"/>
          <w:p>
            <w:pPr>
              <w:spacing w:after="20"/>
              <w:ind w:left="20"/>
              <w:jc w:val="both"/>
            </w:pPr>
            <w:r>
              <w:rPr>
                <w:rFonts w:ascii="Times New Roman"/>
                <w:b w:val="false"/>
                <w:i w:val="false"/>
                <w:color w:val="000000"/>
                <w:sz w:val="20"/>
              </w:rPr>
              <w:t>
</w:t>
            </w:r>
            <w:r>
              <w:rPr>
                <w:rFonts w:ascii="Times New Roman"/>
                <w:b w:val="false"/>
                <w:i w:val="false"/>
                <w:color w:val="000000"/>
                <w:sz w:val="20"/>
              </w:rPr>
              <w:t>Люсине Нуриджановна</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главный специалист Управления цифровизации Министерства высокотехнологической промышленности Республики Армения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Беларусь</w:t>
            </w:r>
          </w:p>
        </w:tc>
      </w:tr>
      <w:tr>
        <w:trPr>
          <w:trHeight w:val="30" w:hRule="atLeast"/>
        </w:trPr>
        <w:tc>
          <w:tcPr>
            <w:tcW w:w="2460" w:type="dxa"/>
            <w:tcBorders/>
            <w:tcMar>
              <w:top w:w="15" w:type="dxa"/>
              <w:left w:w="15" w:type="dxa"/>
              <w:bottom w:w="15" w:type="dxa"/>
              <w:right w:w="15" w:type="dxa"/>
            </w:tcMar>
            <w:vAlign w:val="center"/>
          </w:tcPr>
          <w:bookmarkStart w:name="z11" w:id="6"/>
          <w:p>
            <w:pPr>
              <w:spacing w:after="20"/>
              <w:ind w:left="20"/>
              <w:jc w:val="both"/>
            </w:pPr>
            <w:r>
              <w:rPr>
                <w:rFonts w:ascii="Times New Roman"/>
                <w:b w:val="false"/>
                <w:i w:val="false"/>
                <w:color w:val="000000"/>
                <w:sz w:val="20"/>
              </w:rPr>
              <w:t>
Хилькевич</w:t>
            </w:r>
          </w:p>
          <w:bookmarkEnd w:id="6"/>
          <w:p>
            <w:pPr>
              <w:spacing w:after="20"/>
              <w:ind w:left="20"/>
              <w:jc w:val="both"/>
            </w:pPr>
            <w:r>
              <w:rPr>
                <w:rFonts w:ascii="Times New Roman"/>
                <w:b w:val="false"/>
                <w:i w:val="false"/>
                <w:color w:val="000000"/>
                <w:sz w:val="20"/>
              </w:rPr>
              <w:t>
Сергей Николаевич</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удостоверяющего центра информационного республиканского унитарного предприятия "Национальный центр маркетинга и конъюнктуры цен"</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Казахстан</w:t>
            </w:r>
          </w:p>
        </w:tc>
      </w:tr>
      <w:tr>
        <w:trPr>
          <w:trHeight w:val="30" w:hRule="atLeast"/>
        </w:trPr>
        <w:tc>
          <w:tcPr>
            <w:tcW w:w="2460" w:type="dxa"/>
            <w:tcBorders/>
            <w:tcMar>
              <w:top w:w="15" w:type="dxa"/>
              <w:left w:w="15" w:type="dxa"/>
              <w:bottom w:w="15" w:type="dxa"/>
              <w:right w:w="15" w:type="dxa"/>
            </w:tcMar>
            <w:vAlign w:val="center"/>
          </w:tcPr>
          <w:bookmarkStart w:name="z12" w:id="7"/>
          <w:p>
            <w:pPr>
              <w:spacing w:after="20"/>
              <w:ind w:left="20"/>
              <w:jc w:val="both"/>
            </w:pPr>
            <w:r>
              <w:rPr>
                <w:rFonts w:ascii="Times New Roman"/>
                <w:b w:val="false"/>
                <w:i w:val="false"/>
                <w:color w:val="000000"/>
                <w:sz w:val="20"/>
              </w:rPr>
              <w:t xml:space="preserve">
Айсенова </w:t>
            </w:r>
          </w:p>
          <w:bookmarkEnd w:id="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Анжела Сагандыковна </w:t>
            </w:r>
          </w:p>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проектов департамента электронной коммерции акционерного общества "Центр электронных финансов"</w:t>
            </w:r>
          </w:p>
        </w:tc>
      </w:tr>
      <w:tr>
        <w:trPr>
          <w:trHeight w:val="30" w:hRule="atLeast"/>
        </w:trPr>
        <w:tc>
          <w:tcPr>
            <w:tcW w:w="2460" w:type="dxa"/>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xml:space="preserve">
Касымбеков </w:t>
            </w:r>
          </w:p>
          <w:bookmarkEnd w:id="8"/>
          <w:p>
            <w:pPr>
              <w:spacing w:after="20"/>
              <w:ind w:left="20"/>
              <w:jc w:val="both"/>
            </w:pPr>
            <w:r>
              <w:rPr>
                <w:rFonts w:ascii="Times New Roman"/>
                <w:b w:val="false"/>
                <w:i w:val="false"/>
                <w:color w:val="000000"/>
                <w:sz w:val="20"/>
              </w:rPr>
              <w:t>
</w:t>
            </w:r>
            <w:r>
              <w:rPr>
                <w:rFonts w:ascii="Times New Roman"/>
                <w:b w:val="false"/>
                <w:i w:val="false"/>
                <w:color w:val="000000"/>
                <w:sz w:val="20"/>
              </w:rPr>
              <w:t>Талгат Тенгебаевич</w:t>
            </w:r>
          </w:p>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управляющий директор акционерного общества "Центр электронных финансов"</w:t>
            </w:r>
          </w:p>
        </w:tc>
      </w:tr>
      <w:tr>
        <w:trPr>
          <w:trHeight w:val="30" w:hRule="atLeast"/>
        </w:trPr>
        <w:tc>
          <w:tcPr>
            <w:tcW w:w="2460" w:type="dxa"/>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Мухамеджанова</w:t>
            </w:r>
          </w:p>
          <w:bookmarkEnd w:id="9"/>
          <w:p>
            <w:pPr>
              <w:spacing w:after="20"/>
              <w:ind w:left="20"/>
              <w:jc w:val="both"/>
            </w:pPr>
            <w:r>
              <w:rPr>
                <w:rFonts w:ascii="Times New Roman"/>
                <w:b w:val="false"/>
                <w:i w:val="false"/>
                <w:color w:val="000000"/>
                <w:sz w:val="20"/>
              </w:rPr>
              <w:t>
Камила Адылхановна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Департамента экономической интеграции Министерства торговли и интеграции Республики Казахстан</w:t>
            </w:r>
          </w:p>
        </w:tc>
      </w:tr>
      <w:tr>
        <w:trPr>
          <w:trHeight w:val="30" w:hRule="atLeast"/>
        </w:trPr>
        <w:tc>
          <w:tcPr>
            <w:tcW w:w="2460" w:type="dxa"/>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xml:space="preserve">
Оспанова </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Диана Дулатовна </w:t>
            </w:r>
          </w:p>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департамента экономической интеграции Национальной палаты предпринимателей Республики Казахстан "Атамекен"</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Кыргызской Республики</w:t>
            </w:r>
          </w:p>
        </w:tc>
      </w:tr>
      <w:tr>
        <w:trPr>
          <w:trHeight w:val="30" w:hRule="atLeast"/>
        </w:trPr>
        <w:tc>
          <w:tcPr>
            <w:tcW w:w="2460" w:type="dxa"/>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xml:space="preserve">
Исмаилов </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Султанбек Искендербекович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специалист отдела регулирования электронной подписи и аккредитации Министерства цифрового развития Кыргызской Республики</w:t>
            </w:r>
          </w:p>
        </w:tc>
      </w:tr>
      <w:tr>
        <w:trPr>
          <w:trHeight w:val="30" w:hRule="atLeast"/>
        </w:trPr>
        <w:tc>
          <w:tcPr>
            <w:tcW w:w="2460" w:type="dxa"/>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xml:space="preserve">
Карыпбеков </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Дастан Жеенбекович</w:t>
            </w:r>
          </w:p>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 Государственного комитета национальной безопасности Кыргызской Республики</w:t>
            </w:r>
          </w:p>
        </w:tc>
      </w:tr>
      <w:tr>
        <w:trPr>
          <w:trHeight w:val="30" w:hRule="atLeast"/>
        </w:trPr>
        <w:tc>
          <w:tcPr>
            <w:tcW w:w="2460" w:type="dxa"/>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xml:space="preserve">
Мягков </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Михаил Александрович </w:t>
            </w:r>
          </w:p>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 сектора корневого удостоверяющего центра государственного предприятия "Инфоком" при Министерстве цифрового развития Кыргызской Республики</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 Федерации</w:t>
            </w:r>
          </w:p>
        </w:tc>
      </w:tr>
      <w:tr>
        <w:trPr>
          <w:trHeight w:val="30" w:hRule="atLeast"/>
        </w:trPr>
        <w:tc>
          <w:tcPr>
            <w:tcW w:w="2460" w:type="dxa"/>
            <w:tcBorders/>
            <w:tcMar>
              <w:top w:w="15" w:type="dxa"/>
              <w:left w:w="15" w:type="dxa"/>
              <w:bottom w:w="15" w:type="dxa"/>
              <w:right w:w="15" w:type="dxa"/>
            </w:tcMar>
            <w:vAlign w:val="center"/>
          </w:tcPr>
          <w:bookmarkStart w:name="z25" w:id="14"/>
          <w:p>
            <w:pPr>
              <w:spacing w:after="20"/>
              <w:ind w:left="20"/>
              <w:jc w:val="both"/>
            </w:pPr>
            <w:r>
              <w:rPr>
                <w:rFonts w:ascii="Times New Roman"/>
                <w:b w:val="false"/>
                <w:i w:val="false"/>
                <w:color w:val="000000"/>
                <w:sz w:val="20"/>
              </w:rPr>
              <w:t>
Бабушкина</w:t>
            </w:r>
          </w:p>
          <w:bookmarkEnd w:id="14"/>
          <w:p>
            <w:pPr>
              <w:spacing w:after="20"/>
              <w:ind w:left="20"/>
              <w:jc w:val="both"/>
            </w:pPr>
            <w:r>
              <w:rPr>
                <w:rFonts w:ascii="Times New Roman"/>
                <w:b w:val="false"/>
                <w:i w:val="false"/>
                <w:color w:val="000000"/>
                <w:sz w:val="20"/>
              </w:rPr>
              <w:t>
</w:t>
            </w:r>
            <w:r>
              <w:rPr>
                <w:rFonts w:ascii="Times New Roman"/>
                <w:b w:val="false"/>
                <w:i w:val="false"/>
                <w:color w:val="000000"/>
                <w:sz w:val="20"/>
              </w:rPr>
              <w:t>Анастасия Александровна</w:t>
            </w:r>
          </w:p>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Департамента бюджетной политики в сфере контрактной системы Министерства финансов Российской Федерации</w:t>
            </w:r>
          </w:p>
        </w:tc>
      </w:tr>
      <w:tr>
        <w:trPr>
          <w:trHeight w:val="30" w:hRule="atLeast"/>
        </w:trPr>
        <w:tc>
          <w:tcPr>
            <w:tcW w:w="2460" w:type="dxa"/>
            <w:tcBorders/>
            <w:tcMar>
              <w:top w:w="15" w:type="dxa"/>
              <w:left w:w="15" w:type="dxa"/>
              <w:bottom w:w="15" w:type="dxa"/>
              <w:right w:w="15" w:type="dxa"/>
            </w:tcMar>
            <w:vAlign w:val="center"/>
          </w:tcPr>
          <w:bookmarkStart w:name="z27" w:id="15"/>
          <w:p>
            <w:pPr>
              <w:spacing w:after="20"/>
              <w:ind w:left="20"/>
              <w:jc w:val="both"/>
            </w:pPr>
            <w:r>
              <w:rPr>
                <w:rFonts w:ascii="Times New Roman"/>
                <w:b w:val="false"/>
                <w:i w:val="false"/>
                <w:color w:val="000000"/>
                <w:sz w:val="20"/>
              </w:rPr>
              <w:t xml:space="preserve">
Демидов </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Виталий Владимирович</w:t>
            </w:r>
          </w:p>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советник Департамента евразийской интеграции Министерства экономического развития Российской Федерации</w:t>
            </w:r>
          </w:p>
        </w:tc>
      </w:tr>
      <w:tr>
        <w:trPr>
          <w:trHeight w:val="30" w:hRule="atLeast"/>
        </w:trPr>
        <w:tc>
          <w:tcPr>
            <w:tcW w:w="2460" w:type="dxa"/>
            <w:tcBorders/>
            <w:tcMar>
              <w:top w:w="15" w:type="dxa"/>
              <w:left w:w="15" w:type="dxa"/>
              <w:bottom w:w="15" w:type="dxa"/>
              <w:right w:w="15" w:type="dxa"/>
            </w:tcMar>
            <w:vAlign w:val="center"/>
          </w:tcPr>
          <w:bookmarkStart w:name="z29" w:id="16"/>
          <w:p>
            <w:pPr>
              <w:spacing w:after="20"/>
              <w:ind w:left="20"/>
              <w:jc w:val="both"/>
            </w:pPr>
            <w:r>
              <w:rPr>
                <w:rFonts w:ascii="Times New Roman"/>
                <w:b w:val="false"/>
                <w:i w:val="false"/>
                <w:color w:val="000000"/>
                <w:sz w:val="20"/>
              </w:rPr>
              <w:t>
Еременко</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Владимир Борисович</w:t>
            </w:r>
          </w:p>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отдела проектного управления Управления развития контрактной системы Федерального казначейства</w:t>
            </w:r>
          </w:p>
        </w:tc>
      </w:tr>
      <w:tr>
        <w:trPr>
          <w:trHeight w:val="30" w:hRule="atLeast"/>
        </w:trPr>
        <w:tc>
          <w:tcPr>
            <w:tcW w:w="2460" w:type="dxa"/>
            <w:tcBorders/>
            <w:tcMar>
              <w:top w:w="15" w:type="dxa"/>
              <w:left w:w="15" w:type="dxa"/>
              <w:bottom w:w="15" w:type="dxa"/>
              <w:right w:w="15" w:type="dxa"/>
            </w:tcMar>
            <w:vAlign w:val="center"/>
          </w:tcPr>
          <w:bookmarkStart w:name="z31" w:id="17"/>
          <w:p>
            <w:pPr>
              <w:spacing w:after="20"/>
              <w:ind w:left="20"/>
              <w:jc w:val="both"/>
            </w:pPr>
            <w:r>
              <w:rPr>
                <w:rFonts w:ascii="Times New Roman"/>
                <w:b w:val="false"/>
                <w:i w:val="false"/>
                <w:color w:val="000000"/>
                <w:sz w:val="20"/>
              </w:rPr>
              <w:t>
Курских</w:t>
            </w:r>
          </w:p>
          <w:bookmarkEnd w:id="17"/>
          <w:p>
            <w:pPr>
              <w:spacing w:after="20"/>
              <w:ind w:left="20"/>
              <w:jc w:val="both"/>
            </w:pPr>
            <w:r>
              <w:rPr>
                <w:rFonts w:ascii="Times New Roman"/>
                <w:b w:val="false"/>
                <w:i w:val="false"/>
                <w:color w:val="000000"/>
                <w:sz w:val="20"/>
              </w:rPr>
              <w:t>
Екатерина Александровна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отдела международного сотрудничества в сфере закупок Департамента бюджетной политики </w:t>
            </w:r>
          </w:p>
          <w:p>
            <w:pPr>
              <w:spacing w:after="20"/>
              <w:ind w:left="20"/>
              <w:jc w:val="both"/>
            </w:pPr>
            <w:r>
              <w:rPr>
                <w:rFonts w:ascii="Times New Roman"/>
                <w:b w:val="false"/>
                <w:i w:val="false"/>
                <w:color w:val="000000"/>
                <w:sz w:val="20"/>
              </w:rPr>
              <w:t xml:space="preserve">в сфере контрактной системы Министерства финансов Российской Федерации </w:t>
            </w:r>
          </w:p>
        </w:tc>
      </w:tr>
      <w:tr>
        <w:trPr>
          <w:trHeight w:val="30" w:hRule="atLeast"/>
        </w:trPr>
        <w:tc>
          <w:tcPr>
            <w:tcW w:w="2460" w:type="dxa"/>
            <w:tcBorders/>
            <w:tcMar>
              <w:top w:w="15" w:type="dxa"/>
              <w:left w:w="15" w:type="dxa"/>
              <w:bottom w:w="15" w:type="dxa"/>
              <w:right w:w="15" w:type="dxa"/>
            </w:tcMar>
            <w:vAlign w:val="center"/>
          </w:tcPr>
          <w:bookmarkStart w:name="z32" w:id="18"/>
          <w:p>
            <w:pPr>
              <w:spacing w:after="20"/>
              <w:ind w:left="20"/>
              <w:jc w:val="both"/>
            </w:pPr>
            <w:r>
              <w:rPr>
                <w:rFonts w:ascii="Times New Roman"/>
                <w:b w:val="false"/>
                <w:i w:val="false"/>
                <w:color w:val="000000"/>
                <w:sz w:val="20"/>
              </w:rPr>
              <w:t xml:space="preserve">
Милованов </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Алексей Евгеньевич</w:t>
            </w:r>
          </w:p>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bookmarkStart w:name="z34" w:id="19"/>
          <w:p>
            <w:pPr>
              <w:spacing w:after="20"/>
              <w:ind w:left="20"/>
              <w:jc w:val="both"/>
            </w:pPr>
            <w:r>
              <w:rPr>
                <w:rFonts w:ascii="Times New Roman"/>
                <w:b w:val="false"/>
                <w:i w:val="false"/>
                <w:color w:val="000000"/>
                <w:sz w:val="20"/>
              </w:rPr>
              <w:t>
начальник отдела единой экономической политики в ЕАЭС Департамента евразийской интеграции Министерства экономического развития Российской Федерации;</w:t>
            </w:r>
          </w:p>
          <w:bookmarkEnd w:id="19"/>
          <w:p>
            <w:pPr>
              <w:spacing w:after="20"/>
              <w:ind w:left="20"/>
              <w:jc w:val="both"/>
            </w:pPr>
            <w:r>
              <w:rPr>
                <w:rFonts w:ascii="Times New Roman"/>
                <w:b w:val="false"/>
                <w:i w:val="false"/>
                <w:color w:val="000000"/>
                <w:sz w:val="20"/>
              </w:rPr>
              <w:t>
 </w:t>
            </w:r>
          </w:p>
        </w:tc>
      </w:tr>
    </w:tbl>
    <w:bookmarkStart w:name="z35" w:id="20"/>
    <w:p>
      <w:pPr>
        <w:spacing w:after="0"/>
        <w:ind w:left="0"/>
        <w:jc w:val="both"/>
      </w:pPr>
      <w:r>
        <w:rPr>
          <w:rFonts w:ascii="Times New Roman"/>
          <w:b w:val="false"/>
          <w:i w:val="false"/>
          <w:color w:val="000000"/>
          <w:sz w:val="28"/>
        </w:rPr>
        <w:t>
      б) указать новые должности следующих членов рабочей группы: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1"/>
          <w:p>
            <w:pPr>
              <w:spacing w:after="20"/>
              <w:ind w:left="20"/>
              <w:jc w:val="both"/>
            </w:pPr>
            <w:r>
              <w:rPr>
                <w:rFonts w:ascii="Times New Roman"/>
                <w:b w:val="false"/>
                <w:i w:val="false"/>
                <w:color w:val="000000"/>
                <w:sz w:val="20"/>
              </w:rPr>
              <w:t xml:space="preserve">
Вабищевич </w:t>
            </w:r>
          </w:p>
          <w:bookmarkEnd w:id="21"/>
          <w:p>
            <w:pPr>
              <w:spacing w:after="20"/>
              <w:ind w:left="20"/>
              <w:jc w:val="both"/>
            </w:pPr>
            <w:r>
              <w:rPr>
                <w:rFonts w:ascii="Times New Roman"/>
                <w:b w:val="false"/>
                <w:i w:val="false"/>
                <w:color w:val="000000"/>
                <w:sz w:val="20"/>
              </w:rPr>
              <w:t>
Виталий Владимирович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департамента правового обеспечения и цифровых технологий Белорусской торгово-промышленной палаты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2"/>
          <w:p>
            <w:pPr>
              <w:spacing w:after="20"/>
              <w:ind w:left="20"/>
              <w:jc w:val="both"/>
            </w:pPr>
            <w:r>
              <w:rPr>
                <w:rFonts w:ascii="Times New Roman"/>
                <w:b w:val="false"/>
                <w:i w:val="false"/>
                <w:color w:val="000000"/>
                <w:sz w:val="20"/>
              </w:rPr>
              <w:t>
Джунушов</w:t>
            </w:r>
          </w:p>
          <w:bookmarkEnd w:id="22"/>
          <w:p>
            <w:pPr>
              <w:spacing w:after="20"/>
              <w:ind w:left="20"/>
              <w:jc w:val="both"/>
            </w:pPr>
            <w:r>
              <w:rPr>
                <w:rFonts w:ascii="Times New Roman"/>
                <w:b w:val="false"/>
                <w:i w:val="false"/>
                <w:color w:val="000000"/>
                <w:sz w:val="20"/>
              </w:rPr>
              <w:t>
Бакыт Аманжанович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отделом методологии Департамента государственных закупок при Министерстве финансов Кыргызской Республики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3"/>
          <w:p>
            <w:pPr>
              <w:spacing w:after="20"/>
              <w:ind w:left="20"/>
              <w:jc w:val="both"/>
            </w:pPr>
            <w:r>
              <w:rPr>
                <w:rFonts w:ascii="Times New Roman"/>
                <w:b w:val="false"/>
                <w:i w:val="false"/>
                <w:color w:val="000000"/>
                <w:sz w:val="20"/>
              </w:rPr>
              <w:t>
Мамбетказиев</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Нурлан Тынымсеитович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 отдела регулирования электронной подписи и аккредитации Министерства цифрового развития Кыргызской Республики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4"/>
          <w:p>
            <w:pPr>
              <w:spacing w:after="20"/>
              <w:ind w:left="20"/>
              <w:jc w:val="both"/>
            </w:pPr>
            <w:r>
              <w:rPr>
                <w:rFonts w:ascii="Times New Roman"/>
                <w:b w:val="false"/>
                <w:i w:val="false"/>
                <w:color w:val="000000"/>
                <w:sz w:val="20"/>
              </w:rPr>
              <w:t xml:space="preserve">
Демидов </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Евгений Геннадьевич</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Межрегионального контрактного управления Федерального казначейства; </w:t>
            </w:r>
          </w:p>
        </w:tc>
      </w:tr>
    </w:tbl>
    <w:bookmarkStart w:name="z42" w:id="25"/>
    <w:p>
      <w:pPr>
        <w:spacing w:after="0"/>
        <w:ind w:left="0"/>
        <w:jc w:val="both"/>
      </w:pPr>
      <w:r>
        <w:rPr>
          <w:rFonts w:ascii="Times New Roman"/>
          <w:b w:val="false"/>
          <w:i w:val="false"/>
          <w:color w:val="000000"/>
          <w:sz w:val="28"/>
        </w:rPr>
        <w:t>
      в) исключить из состава рабочей группы Кочаряна Г.Л., Кутузова С.В., Аргын А.А., Болатбаева А.Т., Ергужиеву К.Р., Жунусова Р.С., Изтелеуова А.А., Каирбекову А.М., Акылбекова А. А., Исакову А.И., Кубанычбекова Т.К., Сердюкова С.С., Таалайбек кызы Э., Баклашкину А.Е., Гриненко А.В., Кудинкину Д.В. и Иванову Е.М.</w:t>
      </w:r>
    </w:p>
    <w:bookmarkEnd w:id="25"/>
    <w:bookmarkStart w:name="z43" w:id="26"/>
    <w:p>
      <w:pPr>
        <w:spacing w:after="0"/>
        <w:ind w:left="0"/>
        <w:jc w:val="both"/>
      </w:pPr>
      <w:r>
        <w:rPr>
          <w:rFonts w:ascii="Times New Roman"/>
          <w:b w:val="false"/>
          <w:i w:val="false"/>
          <w:color w:val="000000"/>
          <w:sz w:val="28"/>
        </w:rPr>
        <w:t>
      2. Настоящее распоряжение вступает в силу с даты его опубликования на официальном сайте Евразийского экономического союза.</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