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f6d0" w14:textId="13df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реализации цифровой повестки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июня 2023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3 февраля 2023 г. № 5 в части абзаца второго пункта 2, принимая во внимание развитие интегрированной информационной системы Евразийского экономического союза в соответствии с принципами, изложенными в пункте 12 Целевой программы развития интегрированной информационной системы Евразийского экономического союза до 2027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21 октября 2022 г. № 2, приняв к сведению доклад Евразийской экономической комиссии "О ходе реализации распоряжения Евразийского межправительственного совета от 3 февраля 2023 г. № 5 "О дальнейшем развитии интегрированной информационной системы и цифровой повестки Евразийского экономического союза":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государств - членов Евразийского экономического союза в срок до 1 декабря 2023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разработать подходы цифровой трансформации сфер сотрудничества, предусмотренных Договором о Евразийском экономическом союзе;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подготовить план мероприятий ("дорожную карту") по инфраструктурному обеспечению на базе интегрированной информационной системы Евразийского экономического союза приоритетов проработки инициатив в рамках реализации цифровой повестки Евразийского экономического союза до 2025 года (приложение к Основным направлениям реализации цифровой повестки Евразийского экономического союза до 2025 года,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12);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представить Евразийскому межправительственному совету новые подходы в реализации цифровой повестки в рамках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