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29d" w14:textId="37e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защите прав потребителей в электронной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мая 2023 года № 10.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4.12.4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  года, утвержденных Решением Высшего Евразийского экономического совета от 11 декабря 2020 г. № 12, и пунктом 6 плана мероприятий по реализации Программы совместных действий государств – членов Евразийского экономического союза в сфере защиты прав потребителей (приложение к Программе, утвержденной распоряжением Евразийского межправительственного совета от 21 июня 2022 г. № 12),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права потребителей и их защита гарантируются законодательством государств – членов Евразийского экономического союза в сфере защиты прав потребителей, а также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Евразийского экономического союза (далее – Союз) с даты опубликования настоящей Рекомендации на официальном сайте Союза при разработке нормативных правовых актов, регулирующих вопросы защиты прав потребителей, учитывать общие подходы к защите прав потребителей в электронной торговле, размещенные на официальном сайте Союза по адресу: https://eec.eaeunion.org/upload/files/depsanmer/zpp_e-сommerce.pdf.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