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66c6" w14:textId="01f6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выработке приоритетных инструментов реализации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декабря 2023 года № 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9.4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 4,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приоритетных инструментов реализации механизма "единого окна" в системе регулирования внешнеэкономической деятельности (далее – инструменты реализации механизма "единого окна") на основе опросного метода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  –  членам Евразийского экономического союза (далее – Союз) с даты опубликования настоящей Рекомендации на официальном сайте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Обеспечить подготовительные мероприятия по участию и участие заинтересованных государственных органов, юридических лиц и бизнес-сообществ государств – членов Союза в опросе для оценки приоритетности инструментов реализации механизма "единого окна" (далее – опрос), принимая во внимание перечень и методические рекомендации, размещенные на официальном сайте Союза по адресу: https://eec.eaeunion.org/comission/department/dep_tamoj_zak/prioritetnye-instrumenty-mekhanizma-edinogo-okna.php.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Исходить из того, что опрос проводится после направления Евразийской экономической комиссией уведомления государствам – членам Союза о технической готовности ресурсов Евразийской экономической комиссии для проведения опроса на официальном сайте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Совместно с Евразийской экономической комиссией организовать работу по обобщению и формированию информации по результатам проведения опроса.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