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c5cac" w14:textId="e4c5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классификации воздушных шаров (наборов шаров) в соответствии с единой Товарной номенклатурой внешнеэкономической деятельности Евразийского экономического союза</w:t>
      </w:r>
    </w:p>
    <w:p>
      <w:pPr>
        <w:spacing w:after="0"/>
        <w:ind w:left="0"/>
        <w:jc w:val="both"/>
      </w:pPr>
      <w:r>
        <w:rPr>
          <w:rFonts w:ascii="Times New Roman"/>
          <w:b w:val="false"/>
          <w:i w:val="false"/>
          <w:color w:val="000000"/>
          <w:sz w:val="28"/>
        </w:rPr>
        <w:t>Решение Коллегии Евразийской экономической комиссии от 1 апреля 2024 года № 32</w:t>
      </w:r>
    </w:p>
    <w:p>
      <w:pPr>
        <w:spacing w:after="0"/>
        <w:ind w:left="0"/>
        <w:jc w:val="left"/>
      </w:pPr>
    </w:p>
    <w:bookmarkStart w:name="z4" w:id="0"/>
    <w:p>
      <w:pPr>
        <w:spacing w:after="0"/>
        <w:ind w:left="0"/>
        <w:jc w:val="both"/>
      </w:pPr>
      <w:r>
        <w:rPr>
          <w:rFonts w:ascii="Times New Roman"/>
          <w:b w:val="false"/>
          <w:i w:val="false"/>
          <w:color w:val="000000"/>
          <w:sz w:val="28"/>
        </w:rPr>
        <w:t xml:space="preserve">
      В соответствии с абзацем первым </w:t>
      </w:r>
      <w:r>
        <w:rPr>
          <w:rFonts w:ascii="Times New Roman"/>
          <w:b w:val="false"/>
          <w:i w:val="false"/>
          <w:color w:val="000000"/>
          <w:sz w:val="28"/>
        </w:rPr>
        <w:t>пункта 1</w:t>
      </w:r>
      <w:r>
        <w:rPr>
          <w:rFonts w:ascii="Times New Roman"/>
          <w:b w:val="false"/>
          <w:i w:val="false"/>
          <w:color w:val="000000"/>
          <w:sz w:val="28"/>
        </w:rPr>
        <w:t xml:space="preserve"> статьи 22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1. Воздушные шары (наборы шаров) различных форм (например, округлой, фигурной) и размеров, выполненные из различных материалов (например, латекса, винила, лавсановой пленки), имеющие или не имеющие графическое оформление (например, рисунки, орнаменты, надписи), содержащие или не содержащие внутри мелкие предметы (например, конфетти, серпантин), подсвечивающиеся изнутри или снаружи светодиодными лентами или лампами или неподсвечивающиеся, предназначенные для развлечения детей и взрослых, а также используемые в качестве элементов оформления, украшения различных помещений, объектов и в рекламных целях, в соответствии с Основным правилом интерпретации Товарной номенклатуры внешнеэкономической деятельности 1 классифицируются в товарной позиции 9503  00 единой Товарной номенклатуры внешнеэкономической деятельности Евразийского экономического союза.</w:t>
      </w:r>
    </w:p>
    <w:bookmarkEnd w:id="1"/>
    <w:bookmarkStart w:name="z6" w:id="2"/>
    <w:p>
      <w:pPr>
        <w:spacing w:after="0"/>
        <w:ind w:left="0"/>
        <w:jc w:val="both"/>
      </w:pPr>
      <w:r>
        <w:rPr>
          <w:rFonts w:ascii="Times New Roman"/>
          <w:b w:val="false"/>
          <w:i w:val="false"/>
          <w:color w:val="000000"/>
          <w:sz w:val="28"/>
        </w:rPr>
        <w:t>
      2. Настоящее Решение вступает в силу по истечении 30 календарных дней с даты его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