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79b6" w14:textId="c087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товаров, не подлежащих пересылке в международных почтовых отправлениях</w:t>
      </w:r>
    </w:p>
    <w:p>
      <w:pPr>
        <w:spacing w:after="0"/>
        <w:ind w:left="0"/>
        <w:jc w:val="both"/>
      </w:pPr>
      <w:r>
        <w:rPr>
          <w:rFonts w:ascii="Times New Roman"/>
          <w:b w:val="false"/>
          <w:i w:val="false"/>
          <w:color w:val="000000"/>
          <w:sz w:val="28"/>
        </w:rPr>
        <w:t>Решение Коллегии Евразийской экономической комиссии от 28 мая 2024 года № 62</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285</w:t>
      </w:r>
      <w:r>
        <w:rPr>
          <w:rFonts w:ascii="Times New Roman"/>
          <w:b w:val="false"/>
          <w:i w:val="false"/>
          <w:color w:val="000000"/>
          <w:sz w:val="28"/>
        </w:rPr>
        <w:t xml:space="preserve">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не подлежащих пересылке в международных почтовых отправлениях.</w:t>
      </w:r>
    </w:p>
    <w:bookmarkStart w:name="z6" w:id="1"/>
    <w:p>
      <w:pPr>
        <w:spacing w:after="0"/>
        <w:ind w:left="0"/>
        <w:jc w:val="both"/>
      </w:pPr>
      <w:r>
        <w:rPr>
          <w:rFonts w:ascii="Times New Roman"/>
          <w:b w:val="false"/>
          <w:i w:val="false"/>
          <w:color w:val="000000"/>
          <w:sz w:val="28"/>
        </w:rPr>
        <w:t>
      2. Установить, что настоящее Решение не применяется в отношении товаров Евразийского экономического союза (далее – Союз), перевозимых через территории государств, не являющихся членами Союза, и (или) морем между:</w:t>
      </w:r>
    </w:p>
    <w:bookmarkEnd w:id="1"/>
    <w:bookmarkStart w:name="z7" w:id="2"/>
    <w:p>
      <w:pPr>
        <w:spacing w:after="0"/>
        <w:ind w:left="0"/>
        <w:jc w:val="both"/>
      </w:pPr>
      <w:r>
        <w:rPr>
          <w:rFonts w:ascii="Times New Roman"/>
          <w:b w:val="false"/>
          <w:i w:val="false"/>
          <w:color w:val="000000"/>
          <w:sz w:val="28"/>
        </w:rPr>
        <w:t>
      территорией Калининградской области Российской Федерации и остальной частью таможенной территории Союза;</w:t>
      </w:r>
    </w:p>
    <w:bookmarkEnd w:id="2"/>
    <w:bookmarkStart w:name="z8" w:id="3"/>
    <w:p>
      <w:pPr>
        <w:spacing w:after="0"/>
        <w:ind w:left="0"/>
        <w:jc w:val="both"/>
      </w:pPr>
      <w:r>
        <w:rPr>
          <w:rFonts w:ascii="Times New Roman"/>
          <w:b w:val="false"/>
          <w:i w:val="false"/>
          <w:color w:val="000000"/>
          <w:sz w:val="28"/>
        </w:rPr>
        <w:t>
      территорией Республики Армения и остальной частью таможенной территории Союза.</w:t>
      </w:r>
    </w:p>
    <w:bookmarkEnd w:id="3"/>
    <w:bookmarkStart w:name="z9" w:id="4"/>
    <w:p>
      <w:pPr>
        <w:spacing w:after="0"/>
        <w:ind w:left="0"/>
        <w:jc w:val="both"/>
      </w:pPr>
      <w:r>
        <w:rPr>
          <w:rFonts w:ascii="Times New Roman"/>
          <w:b w:val="false"/>
          <w:i w:val="false"/>
          <w:color w:val="000000"/>
          <w:sz w:val="28"/>
        </w:rPr>
        <w:t>
      3. Признать утратившими силу:</w:t>
      </w:r>
    </w:p>
    <w:bookmarkEnd w:id="4"/>
    <w:bookmarkStart w:name="z10"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17 августа 2010 г. № 338 "Об особенностях пересылки товаров в международных почтовых отправлениях";</w:t>
      </w:r>
    </w:p>
    <w:bookmarkEnd w:id="5"/>
    <w:bookmarkStart w:name="z11"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7 июня 2012 г. № 67 "О внесении изменений в Решение Комиссии Таможенного союза от 17 августа 2010 года № 338";</w:t>
      </w:r>
    </w:p>
    <w:bookmarkEnd w:id="6"/>
    <w:bookmarkStart w:name="z12"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изменений, вносимых в отдельные решения Комиссии Таможенного союза и Коллегии Евразийской экономической комиссии (приложение № 3 к Решению Коллегии Евразийской экономической комиссии от 16 августа 2012 г. № 134 "О нормативных правовых актах в области нетарифного регулирования").</w:t>
      </w:r>
    </w:p>
    <w:bookmarkEnd w:id="7"/>
    <w:bookmarkStart w:name="z13" w:id="8"/>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28 мая 2024 г. № 62</w:t>
            </w:r>
          </w:p>
        </w:tc>
      </w:tr>
    </w:tbl>
    <w:bookmarkStart w:name="z16" w:id="9"/>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не подлежащих пересылке в международных почтовых отправлениях</w:t>
      </w:r>
    </w:p>
    <w:bookmarkEnd w:id="9"/>
    <w:bookmarkStart w:name="z17" w:id="10"/>
    <w:p>
      <w:pPr>
        <w:spacing w:after="0"/>
        <w:ind w:left="0"/>
        <w:jc w:val="both"/>
      </w:pPr>
      <w:r>
        <w:rPr>
          <w:rFonts w:ascii="Times New Roman"/>
          <w:b w:val="false"/>
          <w:i w:val="false"/>
          <w:color w:val="000000"/>
          <w:sz w:val="28"/>
        </w:rPr>
        <w:t>
      1. Алкогольная продукция</w:t>
      </w:r>
      <w:r>
        <w:rPr>
          <w:rFonts w:ascii="Times New Roman"/>
          <w:b w:val="false"/>
          <w:i w:val="false"/>
          <w:color w:val="000000"/>
          <w:vertAlign w:val="superscript"/>
        </w:rPr>
        <w:t>1</w:t>
      </w:r>
      <w:r>
        <w:rPr>
          <w:rFonts w:ascii="Times New Roman"/>
          <w:b w:val="false"/>
          <w:i w:val="false"/>
          <w:color w:val="000000"/>
          <w:sz w:val="28"/>
        </w:rPr>
        <w:t xml:space="preserve"> и пиво (товарные позиции 2203 00 – 2206 00, подсубпозиции 2208 20 120 0 – 2208 90 780 9 единой Товарной номенклатуры внешнеэкономической деятельности Евразийского экономического союза (далее – ТН ВЭД ЕАЭС)), за исключением алкогольной продукции и пива в количестве до 5 литров включительно, пересылаемых в одном международном почтовом отправлении:</w:t>
      </w:r>
    </w:p>
    <w:bookmarkEnd w:id="10"/>
    <w:bookmarkStart w:name="z18" w:id="11"/>
    <w:p>
      <w:pPr>
        <w:spacing w:after="0"/>
        <w:ind w:left="0"/>
        <w:jc w:val="both"/>
      </w:pPr>
      <w:r>
        <w:rPr>
          <w:rFonts w:ascii="Times New Roman"/>
          <w:b w:val="false"/>
          <w:i w:val="false"/>
          <w:color w:val="000000"/>
          <w:sz w:val="28"/>
        </w:rPr>
        <w:t>
      при их вывозе с таможенной территории Евразийского экономического союза (далее – Союз) (при наличии у юридических лиц или физических лиц, зарегистрированных в качестве индивидуальных предпринимателей в соответствии с законодательством государств – членов Союза (далее соответственно – индивидуальные предприниматели, государства-члены), являющихся отправителями, разрешительных документов на производство и (или) оборот такой продукции (товаров) (в случае, если такие документы предусмотрены законодательством государства-члена, на территории которого зарегистрированы юридическое лицо или индивидуальный предприниматель));</w:t>
      </w:r>
    </w:p>
    <w:bookmarkEnd w:id="11"/>
    <w:bookmarkStart w:name="z19" w:id="12"/>
    <w:p>
      <w:pPr>
        <w:spacing w:after="0"/>
        <w:ind w:left="0"/>
        <w:jc w:val="both"/>
      </w:pPr>
      <w:r>
        <w:rPr>
          <w:rFonts w:ascii="Times New Roman"/>
          <w:b w:val="false"/>
          <w:i w:val="false"/>
          <w:color w:val="000000"/>
          <w:sz w:val="28"/>
        </w:rPr>
        <w:t>
      в качестве проб и образцов для проведения исследований или испытаний (при наличии у юридических лиц или индивидуальных предпринимателей, являющихся их отправителями или получателями, разрешительных документов на производство и (или) оборот (в том числе импорт и экспорт) такой продукции (товаров) (в случае, если такие документы предусмотрены законодательством государства-члена, на территории которого зарегистрированы юридическое лицо или индивидуальный предприниматель), договора с аккредитованным органом по сертификации (аккредитованной испытательной лабораторией (центром)) или письма такого аккредитованного органа по сертификации (аккредитованной испытательной лаборатории (центра)), подтверждающих необходимое для этих целей количество (вес и объем) такой продукции (товаров));</w:t>
      </w:r>
    </w:p>
    <w:bookmarkEnd w:id="12"/>
    <w:bookmarkStart w:name="z20" w:id="13"/>
    <w:p>
      <w:pPr>
        <w:spacing w:after="0"/>
        <w:ind w:left="0"/>
        <w:jc w:val="both"/>
      </w:pPr>
      <w:r>
        <w:rPr>
          <w:rFonts w:ascii="Times New Roman"/>
          <w:b w:val="false"/>
          <w:i w:val="false"/>
          <w:color w:val="000000"/>
          <w:sz w:val="28"/>
        </w:rPr>
        <w:t>
      в качестве проб и образцов в адрес аккредитованного органа по сертификации (аккредитованной испытательной лаборатории (центра)) для осуществления измерений в соответствии с международными стандартами, проведения исследований, испытаний или тестирований (при наличии письма такого аккредитованного органа по сертификации (аккредитованной испытательной лаборатории (центра)), подтверждающего необходимое для этих целей количество (вес и объем) такой продукции (товаров));</w:t>
      </w:r>
    </w:p>
    <w:bookmarkEnd w:id="13"/>
    <w:bookmarkStart w:name="z21" w:id="14"/>
    <w:p>
      <w:pPr>
        <w:spacing w:after="0"/>
        <w:ind w:left="0"/>
        <w:jc w:val="both"/>
      </w:pPr>
      <w:r>
        <w:rPr>
          <w:rFonts w:ascii="Times New Roman"/>
          <w:b w:val="false"/>
          <w:i w:val="false"/>
          <w:color w:val="000000"/>
          <w:sz w:val="28"/>
        </w:rPr>
        <w:t>
      в адрес физического лица при ввозе на таможенную территорию Союза или от физического лица при вывозе с таможенной территории Союза</w:t>
      </w:r>
      <w:r>
        <w:rPr>
          <w:rFonts w:ascii="Times New Roman"/>
          <w:b w:val="false"/>
          <w:i w:val="false"/>
          <w:color w:val="000000"/>
          <w:vertAlign w:val="superscript"/>
        </w:rPr>
        <w:t>2</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в случае возврата отправителям, указанным в настоящем пункте, при обратном ввозе (вывозе) товаров, ранее вывезенных (ввезенных) в международном почтовом отправлении и не врученных адресату.</w:t>
      </w:r>
    </w:p>
    <w:bookmarkEnd w:id="15"/>
    <w:bookmarkStart w:name="z23" w:id="16"/>
    <w:p>
      <w:pPr>
        <w:spacing w:after="0"/>
        <w:ind w:left="0"/>
        <w:jc w:val="both"/>
      </w:pPr>
      <w:r>
        <w:rPr>
          <w:rFonts w:ascii="Times New Roman"/>
          <w:b w:val="false"/>
          <w:i w:val="false"/>
          <w:color w:val="000000"/>
          <w:sz w:val="28"/>
        </w:rPr>
        <w:t>
      2. Этиловый спирт (товарная позиция 2207, подсубпозиции 2208 90 910 0 и 2208 90 990 0 ТН ВЭД ЕАЭС), за исключением этилового спирта в количестве до 5 литров включительно, пересылаемого в одном международном почтовом отправлении:</w:t>
      </w:r>
    </w:p>
    <w:bookmarkEnd w:id="16"/>
    <w:bookmarkStart w:name="z24" w:id="17"/>
    <w:p>
      <w:pPr>
        <w:spacing w:after="0"/>
        <w:ind w:left="0"/>
        <w:jc w:val="both"/>
      </w:pPr>
      <w:r>
        <w:rPr>
          <w:rFonts w:ascii="Times New Roman"/>
          <w:b w:val="false"/>
          <w:i w:val="false"/>
          <w:color w:val="000000"/>
          <w:sz w:val="28"/>
        </w:rPr>
        <w:t>
      в качестве проб и образцов для проведения исследований или испытаний (при наличии у юридических лиц или индивидуальных предпринимателей, являющихся его отправителями или получателями, разрешительных документов на производство и (или) оборот (в том числе импорт и экспорт) этилового спирта (в случае, если такие документы предусмотрены законодательством государства-члена, на территории которого зарегистрированы юридическое лицо или индивидуальный предприниматель), договора с аккредитованным органом по сертификации (аккредитованной испытательной лабораторией (центром)) или письма такого аккредитованного органа по сертификации (аккредитованной испытательной лаборатории (центра)), подтверждающих необходимое для этих целей количество (вес и объем) этилового спирта);</w:t>
      </w:r>
    </w:p>
    <w:bookmarkEnd w:id="17"/>
    <w:bookmarkStart w:name="z25" w:id="18"/>
    <w:p>
      <w:pPr>
        <w:spacing w:after="0"/>
        <w:ind w:left="0"/>
        <w:jc w:val="both"/>
      </w:pPr>
      <w:r>
        <w:rPr>
          <w:rFonts w:ascii="Times New Roman"/>
          <w:b w:val="false"/>
          <w:i w:val="false"/>
          <w:color w:val="000000"/>
          <w:sz w:val="28"/>
        </w:rPr>
        <w:t>
      в качестве проб и образцов в адрес аккредитованного органа по сертификации (аккредитованной испытательной лаборатории (центра)) для осуществления измерений в соответствии с международными стандартами, проведения исследований, испытаний или тестирований (при наличии письма такого аккредитованного органа по сертификации (аккредитованной испытательной лаборатории (центра)), подтверждающего необходимое для этих целей количество (вес и объем) этилового спирта);</w:t>
      </w:r>
    </w:p>
    <w:bookmarkEnd w:id="18"/>
    <w:bookmarkStart w:name="z26" w:id="19"/>
    <w:p>
      <w:pPr>
        <w:spacing w:after="0"/>
        <w:ind w:left="0"/>
        <w:jc w:val="both"/>
      </w:pPr>
      <w:r>
        <w:rPr>
          <w:rFonts w:ascii="Times New Roman"/>
          <w:b w:val="false"/>
          <w:i w:val="false"/>
          <w:color w:val="000000"/>
          <w:sz w:val="28"/>
        </w:rPr>
        <w:t>
      в адрес физического лица при ввозе на таможенную территорию Союза или от физического лица при вывозе с таможенной территории Союза</w:t>
      </w:r>
      <w:r>
        <w:rPr>
          <w:rFonts w:ascii="Times New Roman"/>
          <w:b w:val="false"/>
          <w:i w:val="false"/>
          <w:color w:val="000000"/>
          <w:vertAlign w:val="superscript"/>
        </w:rPr>
        <w:t>2</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в случае возврата отправителям, указанным в настоящем пункте, при обратном ввозе (вывозе) этилового спирта, ранее вывезенного (ввезенного) в международном почтовом отправлении и не врученного адресату.</w:t>
      </w:r>
    </w:p>
    <w:bookmarkEnd w:id="20"/>
    <w:bookmarkStart w:name="z28" w:id="21"/>
    <w:p>
      <w:pPr>
        <w:spacing w:after="0"/>
        <w:ind w:left="0"/>
        <w:jc w:val="both"/>
      </w:pPr>
      <w:r>
        <w:rPr>
          <w:rFonts w:ascii="Times New Roman"/>
          <w:b w:val="false"/>
          <w:i w:val="false"/>
          <w:color w:val="000000"/>
          <w:sz w:val="28"/>
        </w:rPr>
        <w:t>
      3. Табачные изделия, курительные смеси, бестабачные курительные изделия и иная никотинсодержащая продукция, в том числе жидкости для использования в системах доставки никотина, и наполнители для систем доставки никотина, в том числе безникотиновые (товарные позиции 2402 – 2404 ТН ВЭД ЕАЭС), за исключением:</w:t>
      </w:r>
    </w:p>
    <w:bookmarkEnd w:id="21"/>
    <w:bookmarkStart w:name="z29" w:id="22"/>
    <w:p>
      <w:pPr>
        <w:spacing w:after="0"/>
        <w:ind w:left="0"/>
        <w:jc w:val="both"/>
      </w:pPr>
      <w:r>
        <w:rPr>
          <w:rFonts w:ascii="Times New Roman"/>
          <w:b w:val="false"/>
          <w:i w:val="false"/>
          <w:color w:val="000000"/>
          <w:sz w:val="28"/>
        </w:rPr>
        <w:t>
      а) сигарет до 1 000 штук, или сигар до 200 штук, или табака до 1 000 граммов, или указанных изделий в наборе общим весом до 1 000 граммов, или иной никотинсодержащей продукции, в том числе жидкостей для использования в системах доставки никотина, и наполнителей для систем доставки никотина, в том числе безникотиновых, стоимость которых не превышает 500 евро, пересылаемых в одном международном почтовом отправлении:</w:t>
      </w:r>
    </w:p>
    <w:bookmarkEnd w:id="22"/>
    <w:bookmarkStart w:name="z30" w:id="23"/>
    <w:p>
      <w:pPr>
        <w:spacing w:after="0"/>
        <w:ind w:left="0"/>
        <w:jc w:val="both"/>
      </w:pPr>
      <w:r>
        <w:rPr>
          <w:rFonts w:ascii="Times New Roman"/>
          <w:b w:val="false"/>
          <w:i w:val="false"/>
          <w:color w:val="000000"/>
          <w:sz w:val="28"/>
        </w:rPr>
        <w:t>
      в качестве проб и образцов для проведения исследований или испытаний (при наличии у юридических лиц или индивидуальных предпринимателей, являющихся их отправителями или получателями, разрешительных документов на производство и (или) оборот (в том числе импорт и экспорт) такой продукции (товаров) (в случае, если такие документы предусмотрены законодательством государства-члена, на территории которого зарегистрированы юридическое лицо или индивидуальный предприниматель), договора с аккредитованным органом по сертификации (аккредитованной испытательной лабораторией (центром)) или письма такого аккредитованного органа по сертификации (аккредитованной испытательной лаборатории (центра)), подтверждающих необходимые для этих целей количество, объем и (или) вес такой продукции (товаров));</w:t>
      </w:r>
    </w:p>
    <w:bookmarkEnd w:id="23"/>
    <w:bookmarkStart w:name="z31" w:id="24"/>
    <w:p>
      <w:pPr>
        <w:spacing w:after="0"/>
        <w:ind w:left="0"/>
        <w:jc w:val="both"/>
      </w:pPr>
      <w:r>
        <w:rPr>
          <w:rFonts w:ascii="Times New Roman"/>
          <w:b w:val="false"/>
          <w:i w:val="false"/>
          <w:color w:val="000000"/>
          <w:sz w:val="28"/>
        </w:rPr>
        <w:t>
      в качестве проб и образцов в адрес аккредитованного органа по сертификации (аккредитованной испытательной лаборатории (центра)) для осуществления измерений в соответствии с международными стандартами, проведения исследований, испытаний, тестирований или проведения калибровки средств измерений и измерения нормируемых параметров в соответствии с требованиями технических регламентов Союза (при наличии письма такого аккредитованного органа по сертификации (аккредитованной испытательной лаборатории (центра)), подтверждающего необходимые для этих целей количество, объем и (или) вес такой продукции (товаров));</w:t>
      </w:r>
    </w:p>
    <w:bookmarkEnd w:id="24"/>
    <w:bookmarkStart w:name="z32" w:id="25"/>
    <w:p>
      <w:pPr>
        <w:spacing w:after="0"/>
        <w:ind w:left="0"/>
        <w:jc w:val="both"/>
      </w:pPr>
      <w:r>
        <w:rPr>
          <w:rFonts w:ascii="Times New Roman"/>
          <w:b w:val="false"/>
          <w:i w:val="false"/>
          <w:color w:val="000000"/>
          <w:sz w:val="28"/>
        </w:rPr>
        <w:t>
      в случае возврата отправителям, указанным в настоящем пункте, при обратном ввозе (вывозе) товаров, ранее вывезенных (ввезенных) в международном почтовом отправлении и не врученных адресату;</w:t>
      </w:r>
    </w:p>
    <w:bookmarkEnd w:id="25"/>
    <w:bookmarkStart w:name="z33" w:id="26"/>
    <w:p>
      <w:pPr>
        <w:spacing w:after="0"/>
        <w:ind w:left="0"/>
        <w:jc w:val="both"/>
      </w:pPr>
      <w:r>
        <w:rPr>
          <w:rFonts w:ascii="Times New Roman"/>
          <w:b w:val="false"/>
          <w:i w:val="false"/>
          <w:color w:val="000000"/>
          <w:sz w:val="28"/>
        </w:rPr>
        <w:t>
      б) 200 сигарет, или 50 сигар (сигарилл), или 200 изделий с нагреваемым табаком ("стиков"), или 250 граммов табака, или изделий в ассортименте общим весом не более 250 граммов, пересылаемых в одном международном почтовом отправлении в адрес физического лица при ввозе на таможенную территорию Союза или от физического лица при вывозе с таможенной территории Союза</w:t>
      </w:r>
      <w:r>
        <w:rPr>
          <w:rFonts w:ascii="Times New Roman"/>
          <w:b w:val="false"/>
          <w:i w:val="false"/>
          <w:color w:val="000000"/>
          <w:vertAlign w:val="superscript"/>
        </w:rPr>
        <w:t>2</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4. Тринитротолуолы и динитронафталины (субпозиция 2904 20 000 0 ТН ВЭД ЕАЭС).</w:t>
      </w:r>
    </w:p>
    <w:bookmarkEnd w:id="27"/>
    <w:bookmarkStart w:name="z35" w:id="28"/>
    <w:p>
      <w:pPr>
        <w:spacing w:after="0"/>
        <w:ind w:left="0"/>
        <w:jc w:val="both"/>
      </w:pPr>
      <w:r>
        <w:rPr>
          <w:rFonts w:ascii="Times New Roman"/>
          <w:b w:val="false"/>
          <w:i w:val="false"/>
          <w:color w:val="000000"/>
          <w:sz w:val="28"/>
        </w:rPr>
        <w:t>
      5. Условно патогенные и патогенные генно-инженерные организмы (генетически измененные микроорганизмы (бактерии, вирусы, хламидии, риккетсии, простейшие, грибы, микоплазмы) или генетические элементы (фрагменты), которые содержат последовательности (участки) нуклеиновой кислоты, кодирующие факторы патогенности, и полученные из микроорганизмов, генетически измененные микроорганизмы или генетические элементы (фрагменты), которые содержат последовательности (участки) нуклеиновой кислоты, кодирующие любой из токсинов) (подсубпозиции 2934 99 800 0, 3002 49 000 1, 3002 49 000 9, 3002 51 000 0 и 3002 59 000 0 ТН ВЭД ЕАЭС).</w:t>
      </w:r>
    </w:p>
    <w:bookmarkEnd w:id="28"/>
    <w:bookmarkStart w:name="z36" w:id="29"/>
    <w:p>
      <w:pPr>
        <w:spacing w:after="0"/>
        <w:ind w:left="0"/>
        <w:jc w:val="both"/>
      </w:pPr>
      <w:r>
        <w:rPr>
          <w:rFonts w:ascii="Times New Roman"/>
          <w:b w:val="false"/>
          <w:i w:val="false"/>
          <w:color w:val="000000"/>
          <w:sz w:val="28"/>
        </w:rPr>
        <w:t>
      6. Порох дымный, порох пироксилиновый, порох баллиститный и ракетные твердые топлива, гранипоры (товарная позиция 3601 00 000 0 ТН ВЭД ЕАЭС).</w:t>
      </w:r>
    </w:p>
    <w:bookmarkEnd w:id="29"/>
    <w:bookmarkStart w:name="z37" w:id="30"/>
    <w:p>
      <w:pPr>
        <w:spacing w:after="0"/>
        <w:ind w:left="0"/>
        <w:jc w:val="both"/>
      </w:pPr>
      <w:r>
        <w:rPr>
          <w:rFonts w:ascii="Times New Roman"/>
          <w:b w:val="false"/>
          <w:i w:val="false"/>
          <w:color w:val="000000"/>
          <w:sz w:val="28"/>
        </w:rPr>
        <w:t>
      7. Вещества взрывчатые готовые, кроме пороха (в том числе граммониты, аммониты, тротиловые заряды, гелексы, гранулотол, алюмотол, пластиты) (товарная позиция 3602 00 000 0 ТН ВЭД ЕАЭС).</w:t>
      </w:r>
    </w:p>
    <w:bookmarkEnd w:id="30"/>
    <w:bookmarkStart w:name="z38" w:id="31"/>
    <w:p>
      <w:pPr>
        <w:spacing w:after="0"/>
        <w:ind w:left="0"/>
        <w:jc w:val="both"/>
      </w:pPr>
      <w:r>
        <w:rPr>
          <w:rFonts w:ascii="Times New Roman"/>
          <w:b w:val="false"/>
          <w:i w:val="false"/>
          <w:color w:val="000000"/>
          <w:sz w:val="28"/>
        </w:rPr>
        <w:t>
      8. Шнуры огнепроводные, шнуры детонирующие, капсюли ударные или детонирующие, запалы, электродетонаторы, иные неэлектрические системы инициирования (товарная позиция 3603 ТН ВЭД ЕАЭС).</w:t>
      </w:r>
    </w:p>
    <w:bookmarkEnd w:id="31"/>
    <w:bookmarkStart w:name="z39" w:id="32"/>
    <w:p>
      <w:pPr>
        <w:spacing w:after="0"/>
        <w:ind w:left="0"/>
        <w:jc w:val="both"/>
      </w:pPr>
      <w:r>
        <w:rPr>
          <w:rFonts w:ascii="Times New Roman"/>
          <w:b w:val="false"/>
          <w:i w:val="false"/>
          <w:color w:val="000000"/>
          <w:sz w:val="28"/>
        </w:rPr>
        <w:t>
      9. Фейерверки, ракеты сигнальные, дождевые ракеты, сигналы противотуманные и изделия пиротехнические прочие (товарная позиция 3604 ТН ВЭД ЕАЭС).</w:t>
      </w:r>
    </w:p>
    <w:bookmarkEnd w:id="32"/>
    <w:bookmarkStart w:name="z40" w:id="33"/>
    <w:p>
      <w:pPr>
        <w:spacing w:after="0"/>
        <w:ind w:left="0"/>
        <w:jc w:val="both"/>
      </w:pPr>
      <w:r>
        <w:rPr>
          <w:rFonts w:ascii="Times New Roman"/>
          <w:b w:val="false"/>
          <w:i w:val="false"/>
          <w:color w:val="000000"/>
          <w:sz w:val="28"/>
        </w:rPr>
        <w:t>
      10. Товары, указанные в перечне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(приложение № 1 к Решению Коллегии Евразийской экономической комиссии от 21 апреля 2015 г. № 30).</w:t>
      </w:r>
    </w:p>
    <w:bookmarkEnd w:id="33"/>
    <w:bookmarkStart w:name="z41" w:id="34"/>
    <w:p>
      <w:pPr>
        <w:spacing w:after="0"/>
        <w:ind w:left="0"/>
        <w:jc w:val="both"/>
      </w:pPr>
      <w:r>
        <w:rPr>
          <w:rFonts w:ascii="Times New Roman"/>
          <w:b w:val="false"/>
          <w:i w:val="false"/>
          <w:color w:val="000000"/>
          <w:sz w:val="28"/>
        </w:rPr>
        <w:t>
      11. Товары, указанные в разделах 2.1 (озоноразрушающие вещества), 2.3 (опасные отходы) и 2.13 (ядовитые вещества, не являющиеся прекурсорами наркотических средств и психотропных веществ)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(приложение № 2 к Решению Коллегии Евразийской экономической комиссии от 21 апреля 2015 г. № 30) (далее – перечень).</w:t>
      </w:r>
    </w:p>
    <w:bookmarkEnd w:id="34"/>
    <w:bookmarkStart w:name="z42" w:id="35"/>
    <w:p>
      <w:pPr>
        <w:spacing w:after="0"/>
        <w:ind w:left="0"/>
        <w:jc w:val="both"/>
      </w:pPr>
      <w:r>
        <w:rPr>
          <w:rFonts w:ascii="Times New Roman"/>
          <w:b w:val="false"/>
          <w:i w:val="false"/>
          <w:color w:val="000000"/>
          <w:sz w:val="28"/>
        </w:rPr>
        <w:t>
      12. Природные алмазы, указанные в таблице 1 раздела 2.9 перечня, и драгоценные камни, указанные в пунктах 1 – 6 таблицы 2 раздела 2.9 перечня.</w:t>
      </w:r>
    </w:p>
    <w:bookmarkEnd w:id="35"/>
    <w:bookmarkStart w:name="z43" w:id="36"/>
    <w:p>
      <w:pPr>
        <w:spacing w:after="0"/>
        <w:ind w:left="0"/>
        <w:jc w:val="both"/>
      </w:pPr>
      <w:r>
        <w:rPr>
          <w:rFonts w:ascii="Times New Roman"/>
          <w:b w:val="false"/>
          <w:i w:val="false"/>
          <w:color w:val="000000"/>
          <w:sz w:val="28"/>
        </w:rPr>
        <w:t>
      13. Драгоценные металлы и сырьевые товары, содержащие драгоценные металлы, указанные в таблицах 1 и 2 раздела 2.10 перечня.</w:t>
      </w:r>
    </w:p>
    <w:bookmarkEnd w:id="36"/>
    <w:bookmarkStart w:name="z44" w:id="37"/>
    <w:p>
      <w:pPr>
        <w:spacing w:after="0"/>
        <w:ind w:left="0"/>
        <w:jc w:val="both"/>
      </w:pPr>
      <w:r>
        <w:rPr>
          <w:rFonts w:ascii="Times New Roman"/>
          <w:b w:val="false"/>
          <w:i w:val="false"/>
          <w:color w:val="000000"/>
          <w:sz w:val="28"/>
        </w:rPr>
        <w:t>
      14. Товары, указанные в разделе 2.12 (наркотические средства, психотропные вещества и их прекурсоры) перечня.</w:t>
      </w:r>
    </w:p>
    <w:bookmarkEnd w:id="37"/>
    <w:bookmarkStart w:name="z45" w:id="38"/>
    <w:p>
      <w:pPr>
        <w:spacing w:after="0"/>
        <w:ind w:left="0"/>
        <w:jc w:val="both"/>
      </w:pPr>
      <w:r>
        <w:rPr>
          <w:rFonts w:ascii="Times New Roman"/>
          <w:b w:val="false"/>
          <w:i w:val="false"/>
          <w:color w:val="000000"/>
          <w:sz w:val="28"/>
        </w:rPr>
        <w:t>
      15. Товары, содержащие наркотические средства, психотропные вещества и их прекурсоры, не указанные в разделе 2.12 (наркотические средства, психотропные вещества и их прекурсоры) перечня:</w:t>
      </w:r>
    </w:p>
    <w:bookmarkEnd w:id="38"/>
    <w:bookmarkStart w:name="z46" w:id="39"/>
    <w:p>
      <w:pPr>
        <w:spacing w:after="0"/>
        <w:ind w:left="0"/>
        <w:jc w:val="both"/>
      </w:pPr>
      <w:r>
        <w:rPr>
          <w:rFonts w:ascii="Times New Roman"/>
          <w:b w:val="false"/>
          <w:i w:val="false"/>
          <w:color w:val="000000"/>
          <w:sz w:val="28"/>
        </w:rPr>
        <w:t>
      мимоза хостилис (растение вида Mimosa tenuiflora).</w:t>
      </w:r>
    </w:p>
    <w:bookmarkEnd w:id="39"/>
    <w:bookmarkStart w:name="z47" w:id="40"/>
    <w:p>
      <w:pPr>
        <w:spacing w:after="0"/>
        <w:ind w:left="0"/>
        <w:jc w:val="both"/>
      </w:pPr>
      <w:r>
        <w:rPr>
          <w:rFonts w:ascii="Times New Roman"/>
          <w:b w:val="false"/>
          <w:i w:val="false"/>
          <w:color w:val="000000"/>
          <w:sz w:val="28"/>
        </w:rPr>
        <w:t>
      16. Товары, указанные в разделе 2.21 (органы и ткани человека, кровь и ее компоненты, образцы биологических материалов человека) перечня, перемещаемые в качестве товаров для личного пользования (за исключением образцов биологических материалов человека).</w:t>
      </w:r>
    </w:p>
    <w:bookmarkEnd w:id="40"/>
    <w:bookmarkStart w:name="z48" w:id="41"/>
    <w:p>
      <w:pPr>
        <w:spacing w:after="0"/>
        <w:ind w:left="0"/>
        <w:jc w:val="both"/>
      </w:pPr>
      <w:r>
        <w:rPr>
          <w:rFonts w:ascii="Times New Roman"/>
          <w:b w:val="false"/>
          <w:i w:val="false"/>
          <w:color w:val="000000"/>
          <w:sz w:val="28"/>
        </w:rPr>
        <w:t>
      17. Оружие (его части), патроны к нему (их части), конструктивно сходные с оружием изделия, за исключением конструктивно сходных с оружием изделий хозяйственно-бытового назначения.</w:t>
      </w:r>
    </w:p>
    <w:bookmarkEnd w:id="41"/>
    <w:bookmarkStart w:name="z49" w:id="42"/>
    <w:p>
      <w:pPr>
        <w:spacing w:after="0"/>
        <w:ind w:left="0"/>
        <w:jc w:val="both"/>
      </w:pPr>
      <w:r>
        <w:rPr>
          <w:rFonts w:ascii="Times New Roman"/>
          <w:b w:val="false"/>
          <w:i w:val="false"/>
          <w:color w:val="000000"/>
          <w:sz w:val="28"/>
        </w:rPr>
        <w:t>
      18. Товары, указанные в разделах 2.2 (средства защиты растений (пестициды)) и 2.17 (специальные технические средства, предназначенные для негласного получения информации) перечня, ввозимые на таможенную территорию Союза в качестве товаров для личного пользования.</w:t>
      </w:r>
    </w:p>
    <w:bookmarkEnd w:id="42"/>
    <w:bookmarkStart w:name="z50" w:id="43"/>
    <w:p>
      <w:pPr>
        <w:spacing w:after="0"/>
        <w:ind w:left="0"/>
        <w:jc w:val="both"/>
      </w:pPr>
      <w:r>
        <w:rPr>
          <w:rFonts w:ascii="Times New Roman"/>
          <w:b w:val="false"/>
          <w:i w:val="false"/>
          <w:color w:val="000000"/>
          <w:sz w:val="28"/>
        </w:rPr>
        <w:t>
      19. Товары, указанные в разделах 2.11 (виды минерального сырья), 2.17 (специальные технические средства, предназначенные для негласного получения информации), 2.20 (культурные ценности, документы национальных архивных фондов, оригиналы архивных документов) и 2.23 (информация о недрах по районам и месторождениям топливно-энергетического и минерального сырья) перечня, вывозимые с таможенной территории Союза в качестве товаров для личного пользования.</w:t>
      </w:r>
    </w:p>
    <w:bookmarkEnd w:id="43"/>
    <w:bookmarkStart w:name="z51" w:id="44"/>
    <w:p>
      <w:pPr>
        <w:spacing w:after="0"/>
        <w:ind w:left="0"/>
        <w:jc w:val="both"/>
      </w:pPr>
      <w:r>
        <w:rPr>
          <w:rFonts w:ascii="Times New Roman"/>
          <w:b w:val="false"/>
          <w:i w:val="false"/>
          <w:color w:val="000000"/>
          <w:sz w:val="28"/>
        </w:rPr>
        <w:t>
      20. Товары, указанные в разделе 2.30 (средства защиты растений и другие стойкие органические загрязнители, подлежащие использованию в исследованиях лабораторного масштаба, а также в качестве эталонного стандарта) перечня, ввозимые на таможенную территорию Союза.</w:t>
      </w:r>
    </w:p>
    <w:bookmarkEnd w:id="44"/>
    <w:bookmarkStart w:name="z52" w:id="45"/>
    <w:p>
      <w:pPr>
        <w:spacing w:after="0"/>
        <w:ind w:left="0"/>
        <w:jc w:val="both"/>
      </w:pPr>
      <w:r>
        <w:rPr>
          <w:rFonts w:ascii="Times New Roman"/>
          <w:b w:val="false"/>
          <w:i w:val="false"/>
          <w:color w:val="000000"/>
          <w:sz w:val="28"/>
        </w:rPr>
        <w:t xml:space="preserve">
      21. Товары, в отношении которых государствами-членами в одностороннем порядке введены и применены меры нетарифного регулирования в порядке, предусмотренном </w:t>
      </w:r>
      <w:r>
        <w:rPr>
          <w:rFonts w:ascii="Times New Roman"/>
          <w:b w:val="false"/>
          <w:i w:val="false"/>
          <w:color w:val="000000"/>
          <w:sz w:val="28"/>
        </w:rPr>
        <w:t>Протоколом</w:t>
      </w:r>
      <w:r>
        <w:rPr>
          <w:rFonts w:ascii="Times New Roman"/>
          <w:b w:val="false"/>
          <w:i w:val="false"/>
          <w:color w:val="000000"/>
          <w:sz w:val="28"/>
        </w:rPr>
        <w:t xml:space="preserve"> о мерах нетарифного регулирования в отношении третьих стран (приложение № 7 к Договору о Евразийском экономическом союзе от 29 мая 2014 года)</w:t>
      </w:r>
      <w:r>
        <w:rPr>
          <w:rFonts w:ascii="Times New Roman"/>
          <w:b w:val="false"/>
          <w:i w:val="false"/>
          <w:color w:val="000000"/>
          <w:vertAlign w:val="superscript"/>
        </w:rPr>
        <w:t>3</w:t>
      </w:r>
      <w:r>
        <w:rPr>
          <w:rFonts w:ascii="Times New Roman"/>
          <w:b w:val="false"/>
          <w:i w:val="false"/>
          <w:color w:val="000000"/>
          <w:sz w:val="28"/>
        </w:rPr>
        <w:t>.</w:t>
      </w:r>
    </w:p>
    <w:bookmarkEnd w:id="45"/>
    <w:bookmarkStart w:name="z53" w:id="46"/>
    <w:p>
      <w:pPr>
        <w:spacing w:after="0"/>
        <w:ind w:left="0"/>
        <w:jc w:val="both"/>
      </w:pPr>
      <w:r>
        <w:rPr>
          <w:rFonts w:ascii="Times New Roman"/>
          <w:b w:val="false"/>
          <w:i w:val="false"/>
          <w:color w:val="000000"/>
          <w:sz w:val="28"/>
        </w:rPr>
        <w:t>
      22. Товары, в отношении которых одним или несколькими государствами-членами в одностороннем порядке установлены иные временные меры в форме запрета на ввоз на таможенную территорию Союза и (или) вывоз таких товаров с таможенной территории Союза</w:t>
      </w:r>
      <w:r>
        <w:rPr>
          <w:rFonts w:ascii="Times New Roman"/>
          <w:b w:val="false"/>
          <w:i w:val="false"/>
          <w:color w:val="000000"/>
          <w:vertAlign w:val="superscript"/>
        </w:rPr>
        <w:t>4</w:t>
      </w:r>
      <w:r>
        <w:rPr>
          <w:rFonts w:ascii="Times New Roman"/>
          <w:b w:val="false"/>
          <w:i w:val="false"/>
          <w:color w:val="000000"/>
          <w:sz w:val="28"/>
        </w:rPr>
        <w:t>.</w:t>
      </w:r>
    </w:p>
    <w:bookmarkEnd w:id="46"/>
    <w:bookmarkStart w:name="z54" w:id="47"/>
    <w:p>
      <w:pPr>
        <w:spacing w:after="0"/>
        <w:ind w:left="0"/>
        <w:jc w:val="both"/>
      </w:pPr>
      <w:r>
        <w:rPr>
          <w:rFonts w:ascii="Times New Roman"/>
          <w:b w:val="false"/>
          <w:i w:val="false"/>
          <w:color w:val="000000"/>
          <w:sz w:val="28"/>
        </w:rPr>
        <w:t>
      _____________</w:t>
      </w:r>
    </w:p>
    <w:bookmarkEnd w:id="47"/>
    <w:bookmarkStart w:name="z55" w:id="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Под алкогольной продукцией понимаются алкогольные напитки с концентрацией спирта более 0,5 об.% (за исключением кваса).</w:t>
      </w:r>
    </w:p>
    <w:bookmarkEnd w:id="48"/>
    <w:bookmarkStart w:name="z56" w:id="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Применяется в отношении физических лиц, достигших 18-летнего возраста, имеющих гражданство Республики Армения, постоянное место жительства в Республике Армения и находящихся на территории Республики Армения.</w:t>
      </w:r>
    </w:p>
    <w:bookmarkEnd w:id="49"/>
    <w:bookmarkStart w:name="z57" w:id="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Применяется в тех государствах-членах, в которых введены и применены временные меры при ввозе на таможенную территорию Союза и (или) вывозе с таможенной территории Союза соответствующих товаров.</w:t>
      </w:r>
    </w:p>
    <w:bookmarkEnd w:id="50"/>
    <w:bookmarkStart w:name="z58" w:id="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Применяется только в тех государствах-членах, в которых установлены временные меры при ввозе на таможенную территорию Союза и (или) вывозе с таможенной территории Союза соответствующих товаров, информация о которых размещается на официальных сайтах таможенных служб государств-членов в информационно-телекоммуникационной сети "Интернет".</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