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60fa" w14:textId="9376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итогах работы совместной исследовательской группы по изучению вопроса о целесообразности заключения соглашения о свободной торговле с Монголией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апреля 2024 года № 23.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итоговый доклад совместной исследовательской группы по изучению вопроса о целесообразности заключения соглашения о свободной торговле с Монголией (далее – совместная исследовательская группа), сформированной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11 сентября 2020 г. № 18,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"О начале переговоров с Монголией о заключении временного торгового соглашения между Евразийским экономическим союзом и его государствами-членами, с одной стороны, и Монголией, с другой стороны" (прилагается) и представить его для рассмотрения Высшим Евразийским экономическим советом.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концептуальные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 временного торгового соглашения между Евразийским экономическим союзом и его государствами-членами, с одной стороны, и Монголией, с другой стороны, подготовленные в рамках работы совместной исследовательской группы.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 даты его официального опубликования.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начале переговоров с Монголией о заключении временного торгового соглашения между Евразийским экономическим союзом и его государствами-членами, с одной стороны, и Монголией, с другой стороны 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статьи 7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Государствам – членам Евразийского экономического союза совместно с Евразийской экономической комиссией начать переговоры c Монголией о заключении временного торгового соглашения между Евразийским экономическим союзом и его государствами-членами, с одной стороны, и Монголией, с другой стороны.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Совету Евразийской экономической комиссии утвердить директивы на переговоры, указанные в пункте 1 настоящего Решения.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 даты его официального опубликования.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Высшего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г. № 23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КОНЦЕПТУАЛЬНЫЕ ПОЛОЖЕНИЯ</w:t>
      </w:r>
      <w:r>
        <w:br/>
      </w:r>
      <w:r>
        <w:rPr>
          <w:rFonts w:ascii="Times New Roman"/>
          <w:b/>
          <w:i w:val="false"/>
          <w:color w:val="000000"/>
        </w:rPr>
        <w:t>проекта временного торгового соглашения между Евразийским экономическим союзом и его государствами-членами, с одной стороны, и Монголией, с другой стороны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Введение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Настоящие концептуальные положения отражают взаимопонимание по охвату временного торгового соглашения между Евразийским экономическим союзом и его государствами-членами, с одной стороны, и Монголией, с другой стороны (далее соответственно – соглашение, стороны).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Настоящие концептуальные положения содержат перечень вопросов, касающихся торговли, подлежащих включению в соглашение без ущерба для финальной позиции сторон в ходе переговоров. Данный перечень не является исчерпывающим, в ходе переговоров в него могут быть включены дополнительные вопросы по согласию сторон.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Цели (ключевые принципы)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Целями (ключевыми принципами) заключения соглашения являются: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либерализация и упрощение торговли товарами между сторонами посредством в том числе снижения или устранения тарифных и нетарифных барьеров в соответствии с положениями соглашения;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поддержка экономического и торгового взаимодействия сторон;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поощрение расширения и диверсификации торговли товарамимежду сторонами.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Задачи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Задачами заключения соглашения являются: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расширение доступа товаров на рынок, упрощение торговли товарами, в том числе посредством снижения и устранения тарифных и нетарифных барьеров;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наращивание торгового оборота между сторонами;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развитие торгово-экономического сотрудничества между сторонами и создание дополнительных условий для повышения конкурентоспособности.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Основные вопросы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рамках соглашения подлежат урегулированию следующие вопросы: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правовые и "горизонтальные" вопросы.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должно быть заключено на 3 года и его действие впоследствии продлевается на 3-летний период, если стороны не договорятся об ином.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Сторонами соглашения должны являться Евразийский экономический союз (далее – ЕАЭС) в рамках его компетенции, установленной Договором о Евразийском экономическом союзе от 29 мая 2014 года, и (или) его государства-члены, с одной стороны, и Монголия, с другой стороны.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соглашении должны быть предусмотрены: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действенные механизмы администрирования соглашения, в том числе создание совместного комитета с возможностью формирования вспомогательных специализированных органов и рабочих групп; 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контактных пунктов для обеспечения эффективной имплементации соглашения и упрощения коммуникации между сторонами;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разрешения возможных споров между сторонами, основанная на принципе приоритета переговоров и консультаций и предусматривающая действенные механизмы формирования панели арбитров, а в рамках такой процедуры в качестве основания для инициирования спора должно быть предусмотрено только толкование и (или) применение соглашения, когда сторона полагает, что мера другой стороны не соответствует ее обязательствам, предусмотренным cоглашением;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исключения, соответствующие предусмотренным статьями XX и XXI Генерального соглашения по тарифам и торговле 1994 года (далее – ГАТТ 1994);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пересмотра соглашения для обеспечения выгод сторон с учетом изменений в международных экономических отношениях.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должно предусматривать обязательства сторон, закрепленные посредством инкорпорирования положений статей I, III, V, VIII, XI и XIII ГАТТ 1994.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должно предусматривать возможность введения в действие меры по ограничению импорта в соответствии с положениями статьи XII ГАТТ 1994 и Договоренностью в отношении положений о платежном балансе Генерального соглашения по тарифам и торговле 1994 года. Стороны должны информировать друг друга о намерении ввести в действие такие меры для обеспечения платежного баланса, о графике их реализации и отмены и проводить консультации с целью рассмотрения вопросов соответствия любых ограничительных мер положениям статьи XII ГАТТ 1994.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должно предусматривать, что в случае расхождения между положениями соглашения и Марракешского соглашения об учреждении Всемирной торговой организации от 15 апреля 1994 года (далее – Соглашение ВТО) соответствующие положения Соглашения ВТО будут иметь преимущественную силу в части такого расхождения, а стороны должны незамедлительно провести консультации с целью выработки взаимоприемлемого решения;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торговля товарами (доступ на рынок).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должно: 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предусматривать преференциальные условия для доступа товаров, происходящих с территорий сторон; 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фиксировать перечни тарифных обязательств ЕАЭС и Монголии;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правила определения происхождения товаров.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предоставления тарифных преференций соглашением должны быть установлены преференциальные правила определения происхождения товаров, которые должны содержать: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критерии, позволяющие признать товар происходящим с территории стороны (в частности, перечень полностью полученных товаров и критерии достаточной переработки для товаров, при производстве которых используются непроисходящие материалы);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прямой поставки товаров;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документальному подтверждению происхождения товаров;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 верификации и административного сотрудничества, позволяющие таможенным органам сторон проверять и контролировать происхождение товаров;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меры защиты внутреннего рынка.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Соглашением должно быть предусмотрено, что во взаимной торговле меры торговой защиты (антидемпинговые, глобальные специальные защитные и компенсационные меры) должны применяться в соответствии со статьями VI и XIX ГАТТ 1994, Соглашением по специальным защитным мерам, Соглашением о применении статьи VI Генерального соглашения по тарифам и торговле 1994 года, Соглашением по субсидиям и компенсационным мерам, содержащимися в Приложении 1А к Соглашению ВТО.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должно предусматривать: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положение, что при проведении расследований в целях применения антидемпинговых, компенсационных и глобальных специальных защитных мер, а также любых последующих процедур, включая повторные расследования в целях установления обхода указанных мер и другие пересмотры, Монголия рассматривает государства – члены ЕАЭС по отдельности, а не как ЕАЭС в целом и не применяет антидемпинговые, компенсационные и глобальные специальные защитные меры, включая меры по итогам повторных расследований в целях установления обхода указанных мер, в отношении импорта из ЕАЭС в целом;</w:t>
      </w:r>
    </w:p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направления письменного уведомления стороной, рассматривающей возможность начала антидемпингового или компенсационного расследования или намеревающейся применить глобальную специальную защитную меру;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проведения консультаций по вопросам применения мер торговой защиты, при этом такие консультации не должны препятствовать сторонам инициировать расследования в целях применения антидемпинговых, компенсационных и глобальных специальных защитных мер и затруднять проведение таких расследований;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технические барьеры в торговле и санитарные, ветеринарные и фитосанитарные (СФС) меры.</w:t>
      </w:r>
    </w:p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должно предусматривать: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применения нормативных правовых актов сторон в сфере технического регулирования в соответствии с положениями Соглашения по техническим барьерам в торговле, содержащегося в Приложении 1А к Соглашению ВТО;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применения санитарных и фитосанитарных мер в соответствии с положениями Соглашения по применению санитарных и фитосанитарных мер, содержащегося в Приложении 1А к Соглашению ВТО;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развития двустороннего сотрудничества между компетентными органами или учреждениями, ответственными за стандартизацию, разработку технических регламентов, метрологию, надзор за рынком и осуществление процедур оценки соответствия, включая аккредитацию, испытания и сертификацию;</w:t>
      </w:r>
    </w:p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инициирования переговоров с целью подписания соглашений об устранении технических барьеров во взаимной торговле, в том числе о взаимном признании результатов процедур оценки соответствия конкретных товаров или групп товаров;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сотрудничества и обмена информацией о стандартах, технических регламентах, метрологии, надзоре за рынком и процедурах оценки соответствия, включая аккредитацию, испытания и сертификацию, с целью улучшения понимания их соответствующих систем и предотвращения возникновения любых технических барьеров во взаимной торговле, а также в части применения СФС-мер;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достижения дополнительных договоренностей, направленных на разработку, принятие и (или) применение СФС-мер, для минимизации негативных последствий их применения во взаимной торговле;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проведения технических консультаций с целью разрешения вопросов применения мер, создающих излишние препятствия во взаимной торговле, и СФС-мер, оказывающих влияние на взаимную торговлю; </w:t>
      </w:r>
    </w:p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таможенное администрирование и упрощение торговли товарами.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должно предусматривать: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мер таможенного администрирования и упрощения торговли с акцентом на транспарентность таможенных процедур, гармонизацию таможенных операций и сотрудничество между таможенными органами сторон;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применения эффективных таможенных процедур и создания (обеспечения работы) программ (института) уполномоченных экономических операторов в соответствии с рамочными стандартами безопасности и упрощения мировой торговли Всемирной таможенной организации;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запроса и представления информации об экспорте, импорте товаров, формирования каналов коммуникации и обеспечения регулярного электронного обмена информацией, требования к которому устанавливаются отдельным протоколом между уполномоченными органами сторон;</w:t>
      </w:r>
    </w:p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транспарентность.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должно включать в себя положения об опубликовании соответствующих нормативных правовых актов, а также международных соглашений по любым вопросам, входящим в сферу действия соглашения.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должны уведомлять друг друга по мере возможности о принятии любых мер, которые могут существенно повлиять на реализацию соглашения или затрагивать интересы другой стороны в рамках соглашения;</w:t>
      </w:r>
    </w:p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электронная торговля.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должно предусматривать: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сторонами мер в части электронной торговли с учетом их экономической выгоды и инновационного характера;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ускорение процессов таможенного оформления в рамках определенных свободных торговых зон в части электронных торговых операций с целью повышения эффективности трансграничной торговли;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упрощение таможенных процедур, избежание чрезмерного нормативного бремени, а также обязательства по защите персональных данных;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экономическое сотрудничество.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должно включать в себя положения о подтверждении значимости экономического сотрудничества сторон в целях укрепления взаимодействия во взаимовыгодных сферах.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также должно поощрять и облегчать взаимодействие соответствующих государственных органов сторон в целях обеспечения развития и реализации экономического сотрудничества и в случае необходимости и целесообразности стимулировать сотрудничество между коммерческими организациями сторон.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