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7e4e" w14:textId="95f7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 в отношении отдельных видов оборудования и частей для строительства, оснащения и (или) технического обслуживания объектов производства и реализации малотоннажного сжиженного природного газа</w:t>
      </w:r>
    </w:p>
    <w:p>
      <w:pPr>
        <w:spacing w:after="0"/>
        <w:ind w:left="0"/>
        <w:jc w:val="both"/>
      </w:pPr>
      <w:r>
        <w:rPr>
          <w:rFonts w:ascii="Times New Roman"/>
          <w:b w:val="false"/>
          <w:i w:val="false"/>
          <w:color w:val="000000"/>
          <w:sz w:val="28"/>
        </w:rPr>
        <w:t>Решение Совета Евразийской экономической комиссии от 22 апреля 2024 года № 38.</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со статьями 43 и 45 </w:t>
      </w:r>
      <w:r>
        <w:rPr>
          <w:rFonts w:ascii="Times New Roman"/>
          <w:b w:val="false"/>
          <w:i w:val="false"/>
          <w:color w:val="000000"/>
          <w:sz w:val="28"/>
        </w:rPr>
        <w:t>Договора</w:t>
      </w:r>
      <w:r>
        <w:rPr>
          <w:rFonts w:ascii="Times New Roman"/>
          <w:b w:val="false"/>
          <w:i w:val="false"/>
          <w:color w:val="000000"/>
          <w:sz w:val="28"/>
        </w:rPr>
        <w:t xml:space="preserve"> о Евразийском экономическом союзе от 29 мая 2014 года,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7</w:t>
      </w:r>
      <w:r>
        <w:rPr>
          <w:rFonts w:ascii="Times New Roman"/>
          <w:b w:val="false"/>
          <w:i w:val="false"/>
          <w:color w:val="000000"/>
          <w:sz w:val="28"/>
        </w:rPr>
        <w:t xml:space="preserve"> Решения Комиссии Таможенного союза от 27 ноября 2009 г. № 130 "О едином таможенно-тарифном регулировании Евразийского экономического союза" дополнить подпунктом 7.1.71 следующего содержания:</w:t>
      </w:r>
    </w:p>
    <w:bookmarkEnd w:id="1"/>
    <w:bookmarkStart w:name="z6" w:id="2"/>
    <w:p>
      <w:pPr>
        <w:spacing w:after="0"/>
        <w:ind w:left="0"/>
        <w:jc w:val="both"/>
      </w:pPr>
      <w:r>
        <w:rPr>
          <w:rFonts w:ascii="Times New Roman"/>
          <w:b w:val="false"/>
          <w:i w:val="false"/>
          <w:color w:val="000000"/>
          <w:sz w:val="28"/>
        </w:rPr>
        <w:t>
      "7.1.71. Отдельные виды оборудования и частей, классифицируемые кодами 8407 90 900 9, 8418 69 000 8, 8481 10 190 8, 8481 10 990 8, 8481 30 910 8, 8481 30 990 8, 8481 40 100 0, 8481 40 900 9, 8481 80 599 0, 8481 80 639 0, 8481 80 690 0, 8481 80 739 9, 8481 80 790 0, 8481 80 819 9, 8481 80 850 8, 8481 80 870 0, 8481 80 990 7, 8505 11 000 0, 8505 19 900 0, 8505 90 200 9 и 8505 90 900 0 ТН ВЭД ЕАЭС и предназначенные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w:t>
      </w:r>
    </w:p>
    <w:bookmarkEnd w:id="2"/>
    <w:bookmarkStart w:name="z7" w:id="3"/>
    <w:p>
      <w:pPr>
        <w:spacing w:after="0"/>
        <w:ind w:left="0"/>
        <w:jc w:val="both"/>
      </w:pPr>
      <w:r>
        <w:rPr>
          <w:rFonts w:ascii="Times New Roman"/>
          <w:b w:val="false"/>
          <w:i w:val="false"/>
          <w:color w:val="000000"/>
          <w:sz w:val="28"/>
        </w:rPr>
        <w:t>
      Условием предоставления указанной тарифной льготы является наличие подтверждения целевого назначения товаров, выданного уполномоченным органом исполнительной власти государства-члена и содержащего сведения о номенклатуре и количестве товаров, конечных получателях товаров (лицах, являющихся собственниками объектов производства и реализации малотоннажного сжиженного природного газа, для которых предназначены товары, и (или) организациях, осуществляющих строительство, оснащение (включая производство (сборку) оборудования) и (или) техническое обслуживание таких объектов, с которыми собственниками объектов заключены соответствующие договоры), а в случае ввоза товаров лицами, не являющимися конечными получателями, – также сведения о таких лицах.</w:t>
      </w:r>
    </w:p>
    <w:bookmarkEnd w:id="3"/>
    <w:bookmarkStart w:name="z8" w:id="4"/>
    <w:p>
      <w:pPr>
        <w:spacing w:after="0"/>
        <w:ind w:left="0"/>
        <w:jc w:val="both"/>
      </w:pPr>
      <w:r>
        <w:rPr>
          <w:rFonts w:ascii="Times New Roman"/>
          <w:b w:val="false"/>
          <w:i w:val="false"/>
          <w:color w:val="000000"/>
          <w:sz w:val="28"/>
        </w:rPr>
        <w:t>
      Тарифная льгота, предусмотренная настоящим подпунктом, предоставляется в отношении товаров, помещаемых (помещенных) под таможенную процедуру выпуска для внутреннего потребления, в отношении которых декларация на товары зарегистрирована таможенным органом государства-члена с даты вступления в силу Решения Совета Евразийской экономической комиссии от 22 апреля 2024 г. № 38 по 31 мая 2026 г. включительно.</w:t>
      </w:r>
    </w:p>
    <w:bookmarkEnd w:id="4"/>
    <w:bookmarkStart w:name="z9" w:id="5"/>
    <w:p>
      <w:pPr>
        <w:spacing w:after="0"/>
        <w:ind w:left="0"/>
        <w:jc w:val="both"/>
      </w:pPr>
      <w:r>
        <w:rPr>
          <w:rFonts w:ascii="Times New Roman"/>
          <w:b w:val="false"/>
          <w:i w:val="false"/>
          <w:color w:val="000000"/>
          <w:sz w:val="28"/>
        </w:rPr>
        <w:t xml:space="preserve">
      Товары, в отношении которых применяется тарифная льгота, допускается использовать исключительно для строительства, оснащения (включая производство (сборку) оборудования) и (или) технического обслуживания объектов производства и реализации малотоннажного сжиженного природного газа, расположенных на территории государства-члена, таможенным органом которого произведен их выпуск. Их передача (реализация) допускается только лицам, являющимся конечными получателями. </w:t>
      </w:r>
    </w:p>
    <w:bookmarkEnd w:id="5"/>
    <w:bookmarkStart w:name="z10" w:id="6"/>
    <w:p>
      <w:pPr>
        <w:spacing w:after="0"/>
        <w:ind w:left="0"/>
        <w:jc w:val="both"/>
      </w:pPr>
      <w:r>
        <w:rPr>
          <w:rFonts w:ascii="Times New Roman"/>
          <w:b w:val="false"/>
          <w:i w:val="false"/>
          <w:color w:val="000000"/>
          <w:sz w:val="28"/>
        </w:rPr>
        <w:t>
      Указанные ограничения по пользованию и (или) распоряжению товарами действуют:</w:t>
      </w:r>
    </w:p>
    <w:bookmarkEnd w:id="6"/>
    <w:bookmarkStart w:name="z11" w:id="7"/>
    <w:p>
      <w:pPr>
        <w:spacing w:after="0"/>
        <w:ind w:left="0"/>
        <w:jc w:val="both"/>
      </w:pPr>
      <w:r>
        <w:rPr>
          <w:rFonts w:ascii="Times New Roman"/>
          <w:b w:val="false"/>
          <w:i w:val="false"/>
          <w:color w:val="000000"/>
          <w:sz w:val="28"/>
        </w:rPr>
        <w:t>
      при помещении данных товаров под таможенную процедуру выпуска для внутреннего потребления конечными получателями – до момента постановки товаров на баланс конечного получателя;</w:t>
      </w:r>
    </w:p>
    <w:bookmarkEnd w:id="7"/>
    <w:bookmarkStart w:name="z12" w:id="8"/>
    <w:p>
      <w:pPr>
        <w:spacing w:after="0"/>
        <w:ind w:left="0"/>
        <w:jc w:val="both"/>
      </w:pPr>
      <w:r>
        <w:rPr>
          <w:rFonts w:ascii="Times New Roman"/>
          <w:b w:val="false"/>
          <w:i w:val="false"/>
          <w:color w:val="000000"/>
          <w:sz w:val="28"/>
        </w:rPr>
        <w:t xml:space="preserve">
      при помещении данных товаров под таможенную процедуру выпуска для внутреннего потребления лицами, не являющимися конечными получателями, – до момента передачи (реализации) товаров конечному получателю, но не более 5 лет со дня выпуска таких товаров в соответствии с таможенной процедурой выпуска для внутреннего потребления. </w:t>
      </w:r>
    </w:p>
    <w:bookmarkEnd w:id="8"/>
    <w:bookmarkStart w:name="z13" w:id="9"/>
    <w:p>
      <w:pPr>
        <w:spacing w:after="0"/>
        <w:ind w:left="0"/>
        <w:jc w:val="both"/>
      </w:pPr>
      <w:r>
        <w:rPr>
          <w:rFonts w:ascii="Times New Roman"/>
          <w:b w:val="false"/>
          <w:i w:val="false"/>
          <w:color w:val="000000"/>
          <w:sz w:val="28"/>
        </w:rPr>
        <w:t>
      Документом, подтверждающим постановку товаров на баланс конечного получателя, является выписка о поступивших (находящихся) на его балансе товарах.</w:t>
      </w:r>
    </w:p>
    <w:bookmarkEnd w:id="9"/>
    <w:bookmarkStart w:name="z14" w:id="10"/>
    <w:p>
      <w:pPr>
        <w:spacing w:after="0"/>
        <w:ind w:left="0"/>
        <w:jc w:val="both"/>
      </w:pPr>
      <w:r>
        <w:rPr>
          <w:rFonts w:ascii="Times New Roman"/>
          <w:b w:val="false"/>
          <w:i w:val="false"/>
          <w:color w:val="000000"/>
          <w:sz w:val="28"/>
        </w:rPr>
        <w:t>
      Документом, подтверждающим передачу (реализацию) таких товаров конечному получателю, является копия акта приема или приема-передачи таких товаров.".</w:t>
      </w:r>
    </w:p>
    <w:bookmarkEnd w:id="10"/>
    <w:bookmarkStart w:name="z15"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Порядка применения освобождения от уплаты таможенных пошлин при ввозе отдельных категорий товаров на единую таможенную территорию Таможенного союза, утвержденного Решением Комиссии Таможенного союза от 15 июля 2011 г. № 728, цифры "7.1.70" заменить цифрами "7.1.71".</w:t>
      </w:r>
    </w:p>
    <w:bookmarkEnd w:id="11"/>
    <w:bookmarkStart w:name="z16" w:id="12"/>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1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Касымалиев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