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c04f" w14:textId="977c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собирательных классификационных группировках сельскохозяйственных видов экономической деятельности и отдельных видов сельскохозяйственной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13 августа 2024 года № 17.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и в целях формирования официальной статистической информации Евразийского экономического союза (далее – Союз) по сельскохозяйственным видам экономической деятельности и отдельным видам сельскохозяйственной продукции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рекомендует </w:t>
      </w:r>
      <w:r>
        <w:rPr>
          <w:rFonts w:ascii="Times New Roman"/>
          <w:b w:val="false"/>
          <w:i w:val="false"/>
          <w:color w:val="000000"/>
          <w:sz w:val="28"/>
        </w:rPr>
        <w:t>государствам – членам Союза с даты опубликования настоящей Рекомендации на официальном сайте Союза применять международные стандарты "Статистическая классификация видов экономической деятельности в Европейском экономическом сообществе (КДЕС Ред. 2)" в части собирательных классификационных группировок видов экономической деятельности "Сельское хозяйство" и "Растениеводство" и "Статистическая классификация продукции по видам экономической деятельности Европейского экономического сообщества, версия 2008" в части собирательных классификационных группировок отдельных видов сельскохозяйственной продукции, размещенные на официальном сайте Союза по адресу: https://eec.eaeunion.org/comission/department/dep_stat/union_stat/metadata/classification.php.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