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7e5e" w14:textId="4907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таблицу 11 структуры и формата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января 2025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таблицу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утвержденных Решением Коллегии Евразийской экономической комиссии от 22 января 2019 г. № 9,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г. № 11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таблицу 11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</w:rPr>
        <w:t>структуры и формата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Позиции 14.3.6.13.4 и 14.3.6.13.5 изложить в следующей редакции: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"*.13.4. Номер документа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(cacdo:ExpressCargoDeclarationIdDetails)" не заполнен и товары до подачи пассажирской таможенной декларации для экспресс-грузов помещались на временное хранение, то 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 Дата документа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(csdo:DocId)" заполнен, то реквизит "Дата документа (csdo:DocCreationDate)" должен быть заполнен, иначе реквизит "Дата документа (csdo:DocCreationDate)"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