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f146" w14:textId="d3ff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отдельных видов плавучих судов</w:t>
      </w:r>
    </w:p>
    <w:p>
      <w:pPr>
        <w:spacing w:after="0"/>
        <w:ind w:left="0"/>
        <w:jc w:val="both"/>
      </w:pPr>
      <w:r>
        <w:rPr>
          <w:rFonts w:ascii="Times New Roman"/>
          <w:b w:val="false"/>
          <w:i w:val="false"/>
          <w:color w:val="000000"/>
          <w:sz w:val="28"/>
        </w:rPr>
        <w:t>Решение Совета Евразийской экономической комиссии от 22 января 2025 года № 4.</w:t>
      </w:r>
    </w:p>
    <w:p>
      <w:pPr>
        <w:spacing w:after="0"/>
        <w:ind w:left="0"/>
        <w:jc w:val="both"/>
      </w:pPr>
      <w:bookmarkStart w:name="z4" w:id="0"/>
      <w:r>
        <w:rPr>
          <w:rFonts w:ascii="Times New Roman"/>
          <w:b w:val="false"/>
          <w:i w:val="false"/>
          <w:color w:val="000000"/>
          <w:sz w:val="28"/>
        </w:rPr>
        <w:t xml:space="preserve">
      В соответствии со статьями 43 и 45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7.1.6</w:t>
      </w:r>
      <w:r>
        <w:rPr>
          <w:rFonts w:ascii="Times New Roman"/>
          <w:b w:val="false"/>
          <w:i w:val="false"/>
          <w:color w:val="000000"/>
          <w:sz w:val="28"/>
        </w:rPr>
        <w:t xml:space="preserve"> пункта 7 Решения Комиссии Таможенного союза от 27 ноября 2009 г. № 130 "О едином таможенно-тарифном регулировании Евразийского экономического союза" изложить в следующей редакции:</w:t>
      </w:r>
    </w:p>
    <w:bookmarkEnd w:id="1"/>
    <w:bookmarkStart w:name="z6" w:id="2"/>
    <w:p>
      <w:pPr>
        <w:spacing w:after="0"/>
        <w:ind w:left="0"/>
        <w:jc w:val="both"/>
      </w:pPr>
      <w:r>
        <w:rPr>
          <w:rFonts w:ascii="Times New Roman"/>
          <w:b w:val="false"/>
          <w:i w:val="false"/>
          <w:color w:val="000000"/>
          <w:sz w:val="28"/>
        </w:rPr>
        <w:t>
      "7.1.6. Плавучие суда, регистрируемые (зарегистрированные) в международных реестрах судов, установленных законодательством государств-членов.".</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"9. Тарифная льгота, предусмотренная подпунктом 7.1.6 пункта 7 Решения Комиссии Таможенного союза от 27 ноября 2009 г. № 130, предоставляется в отношении плавучих судов при условии их регистрации в международном реестре судов государства – члена Евразийского экономического союза. </w:t>
      </w:r>
    </w:p>
    <w:bookmarkEnd w:id="4"/>
    <w:bookmarkStart w:name="z9" w:id="5"/>
    <w:p>
      <w:pPr>
        <w:spacing w:after="0"/>
        <w:ind w:left="0"/>
        <w:jc w:val="both"/>
      </w:pPr>
      <w:r>
        <w:rPr>
          <w:rFonts w:ascii="Times New Roman"/>
          <w:b w:val="false"/>
          <w:i w:val="false"/>
          <w:color w:val="000000"/>
          <w:sz w:val="28"/>
        </w:rPr>
        <w:t>
      Документом, подтверждающим выполнение условия предоставления указанной тарифной льготы, является свидетельство о регистрации судна в международном реестре судов государства – члена Евразийского экономического союза или выписка из международного реестра судов государства – члена Евразийского экономического союза (далее – документ, подтверждающий регистрацию судна).</w:t>
      </w:r>
    </w:p>
    <w:bookmarkEnd w:id="5"/>
    <w:bookmarkStart w:name="z10" w:id="6"/>
    <w:p>
      <w:pPr>
        <w:spacing w:after="0"/>
        <w:ind w:left="0"/>
        <w:jc w:val="both"/>
      </w:pPr>
      <w:r>
        <w:rPr>
          <w:rFonts w:ascii="Times New Roman"/>
          <w:b w:val="false"/>
          <w:i w:val="false"/>
          <w:color w:val="000000"/>
          <w:sz w:val="28"/>
        </w:rPr>
        <w:t xml:space="preserve">
      В случае отсутствия при таможенном декларировании плавучего судна документа, подтверждающего регистрацию судна, такой документ должен быть представлен в таможенный орган государства – члена Евразийского экономического союза не позднее 45 календарных дней с даты регистрации декларации на товары, а в случае выпуска товаров до подачи декларации на товары – с даты регистрации заявления о выпуске товаров до подачи декларации на товары. </w:t>
      </w:r>
    </w:p>
    <w:bookmarkEnd w:id="6"/>
    <w:bookmarkStart w:name="z11" w:id="7"/>
    <w:p>
      <w:pPr>
        <w:spacing w:after="0"/>
        <w:ind w:left="0"/>
        <w:jc w:val="both"/>
      </w:pPr>
      <w:r>
        <w:rPr>
          <w:rFonts w:ascii="Times New Roman"/>
          <w:b w:val="false"/>
          <w:i w:val="false"/>
          <w:color w:val="000000"/>
          <w:sz w:val="28"/>
        </w:rPr>
        <w:t>
      Непредставление документа, подтверждающего регистрацию судна, в установленный в абзаце третьем настоящего пункта срок является нарушением условий предоставления тарифной льготы.".</w:t>
      </w:r>
    </w:p>
    <w:bookmarkEnd w:id="7"/>
    <w:bookmarkStart w:name="z12" w:id="8"/>
    <w:p>
      <w:pPr>
        <w:spacing w:after="0"/>
        <w:ind w:left="0"/>
        <w:jc w:val="both"/>
      </w:pPr>
      <w:r>
        <w:rPr>
          <w:rFonts w:ascii="Times New Roman"/>
          <w:b w:val="false"/>
          <w:i w:val="false"/>
          <w:color w:val="000000"/>
          <w:sz w:val="28"/>
        </w:rPr>
        <w:t xml:space="preserve">
      3. Настоящее Решение вступает в силу по истечении 10 календарных дней с даты его официального опубликования. </w:t>
      </w:r>
    </w:p>
    <w:bookmarkEnd w:id="8"/>
    <w:bookmarkStart w:name="z13" w:id="9"/>
    <w:p>
      <w:pPr>
        <w:spacing w:after="0"/>
        <w:ind w:left="0"/>
        <w:jc w:val="both"/>
      </w:pPr>
      <w:r>
        <w:rPr>
          <w:rFonts w:ascii="Times New Roman"/>
          <w:b w:val="false"/>
          <w:i w:val="false"/>
          <w:color w:val="000000"/>
          <w:sz w:val="28"/>
        </w:rPr>
        <w:t xml:space="preserve">
      В отношении судов, помещенных с 28 марта 2022 г. и до даты вступления в силу настоящего Решения под таможенную процедуру с применением тарифной льготы, установленной </w:t>
      </w:r>
      <w:r>
        <w:rPr>
          <w:rFonts w:ascii="Times New Roman"/>
          <w:b w:val="false"/>
          <w:i w:val="false"/>
          <w:color w:val="000000"/>
          <w:sz w:val="28"/>
        </w:rPr>
        <w:t>подпунктом 7.1.6</w:t>
      </w:r>
      <w:r>
        <w:rPr>
          <w:rFonts w:ascii="Times New Roman"/>
          <w:b w:val="false"/>
          <w:i w:val="false"/>
          <w:color w:val="000000"/>
          <w:sz w:val="28"/>
        </w:rPr>
        <w:t xml:space="preserve"> пункта 7 Решения Комиссии Таможенного союза от 27 ноября 2009 г. № 130, и классифицируемых кодами 8901 10, 8901 20, 8901 30, 8901 90, 8903 22 000 0, 8903 32 100 0, 8903 99 000 0, 8904 00, 8905, 8906 90 ТН ВЭД ЕАЭС, распространяются положения пункта 2 настоящего Решения. </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