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d89" w14:textId="f269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тематике совместных мероприятий государств – членов Евразийского экономического союза в сфере защиты прав потребителей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февраля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совместных действий государств – членов Евразийского экономического союза в сфере защиты прав потребителей (приложение к Программе, утвержденной распоряжением Евразийского межправительственного совета от 21 июня 2022 г. № 12)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 13 к Договору о Евразийском экономическом союзе от 29 мая 2014 года)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 в рамках проведения совместных мероприятий в сфере защиты прав потребителей определить в 2025 году в качестве приоритетной тематику года "Потребитель в центре внимания: от баланса интересов к справедливому разрешению споров" для целей информирования и просвещения граждан государств – членов Евразийского экономического союза, а также формирования навыков рационального и устойчивого потребления.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