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d1b9" w14:textId="5b5d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формировании единого оборонного бюджета и порядке финансирования вооруженных сил государств Содружества</w:t>
      </w:r>
    </w:p>
    <w:p>
      <w:pPr>
        <w:spacing w:after="0"/>
        <w:ind w:left="0"/>
        <w:jc w:val="both"/>
      </w:pPr>
      <w:r>
        <w:rPr>
          <w:rFonts w:ascii="Times New Roman"/>
          <w:b w:val="false"/>
          <w:i w:val="false"/>
          <w:color w:val="000000"/>
          <w:sz w:val="28"/>
        </w:rPr>
        <w:t>Содружество Независимых Государств Соглашение от 14 февраля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Республика Таджикистан, Туркменистан, Республика Узбекистан и 
Украина, в дальнейшем именуемые "государства - участники Содружества",
</w:t>
      </w:r>
      <w:r>
        <w:br/>
      </w:r>
      <w:r>
        <w:rPr>
          <w:rFonts w:ascii="Times New Roman"/>
          <w:b w:val="false"/>
          <w:i w:val="false"/>
          <w:color w:val="000000"/>
          <w:sz w:val="28"/>
        </w:rPr>
        <w:t>
          исходя из необходимости финансового обеспечения Вооруженных Сил
государств Содружества,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В состав единого оборонного бюджета, формируемого для финансирования 
Вооруженных Сил государств Содружества, включаются следующие виды затрат в 
расчете на год:
</w:t>
      </w:r>
      <w:r>
        <w:br/>
      </w:r>
      <w:r>
        <w:rPr>
          <w:rFonts w:ascii="Times New Roman"/>
          <w:b w:val="false"/>
          <w:i w:val="false"/>
          <w:color w:val="000000"/>
          <w:sz w:val="28"/>
        </w:rPr>
        <w:t>
          содержание армии и флота (денежное довольствие военнослужащих, 
заработная плата штатных рабочих и служащих, продовольственное обеспечение, 
оплата вещевого имущества, оплата и хранение специального топлива и 
горючего, ремонт и изготовление вооружения, военной техники и имущества, 
транспортные расходы, аренда средств электросвязи, содержание космодромов, 
специальных полигонов, баз и складов, рублевое покрытие расходов в 
иностранной валюте на содержание войск за границей, оперативные, 
хозяйственные и другие расходы, связанные с жизнеобеспечением войск);
</w:t>
      </w:r>
      <w:r>
        <w:br/>
      </w:r>
      <w:r>
        <w:rPr>
          <w:rFonts w:ascii="Times New Roman"/>
          <w:b w:val="false"/>
          <w:i w:val="false"/>
          <w:color w:val="000000"/>
          <w:sz w:val="28"/>
        </w:rPr>
        <w:t>
          оплата вооружения, военной техники и имущества, в том числе закупка 
ядерных боеприпасов;
</w:t>
      </w:r>
      <w:r>
        <w:br/>
      </w:r>
      <w:r>
        <w:rPr>
          <w:rFonts w:ascii="Times New Roman"/>
          <w:b w:val="false"/>
          <w:i w:val="false"/>
          <w:color w:val="000000"/>
          <w:sz w:val="28"/>
        </w:rPr>
        <w:t>
          оплата научно-технической продукции;
</w:t>
      </w:r>
      <w:r>
        <w:br/>
      </w:r>
      <w:r>
        <w:rPr>
          <w:rFonts w:ascii="Times New Roman"/>
          <w:b w:val="false"/>
          <w:i w:val="false"/>
          <w:color w:val="000000"/>
          <w:sz w:val="28"/>
        </w:rPr>
        <w:t>
          капитальное строительство  и  капитальный  ремонт,  в том числе
специальное и жилищное строительство;
</w:t>
      </w:r>
      <w:r>
        <w:br/>
      </w:r>
      <w:r>
        <w:rPr>
          <w:rFonts w:ascii="Times New Roman"/>
          <w:b w:val="false"/>
          <w:i w:val="false"/>
          <w:color w:val="000000"/>
          <w:sz w:val="28"/>
        </w:rPr>
        <w:t>
          пенсионное обеспечение военнослужащих и членов их семей.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Ассигнования на содержание армии и флота определяются на основе 
фактической численности военнослужащих, рабочих и служащих Вооруженных Сил 
государств Содружества, норм обеспечения и нормативов содержания вооружения,
 военной техники и имущества, действующих цен и тарифов, планов боевой 
подготовки, производственно-хозяйственной деятельности и других факторов.
</w:t>
      </w:r>
      <w:r>
        <w:br/>
      </w:r>
      <w:r>
        <w:rPr>
          <w:rFonts w:ascii="Times New Roman"/>
          <w:b w:val="false"/>
          <w:i w:val="false"/>
          <w:color w:val="000000"/>
          <w:sz w:val="28"/>
        </w:rPr>
        <w:t>
          Ассигнования на оплату вооружения, военной техники и имущества 
определяются исходя из планируемых объемов поставок вооружения, военной 
техники и имущества для обеспечения Вооруженных Сил государств Содружества 
в пределах выделенных средств.
</w:t>
      </w:r>
      <w:r>
        <w:br/>
      </w:r>
      <w:r>
        <w:rPr>
          <w:rFonts w:ascii="Times New Roman"/>
          <w:b w:val="false"/>
          <w:i w:val="false"/>
          <w:color w:val="000000"/>
          <w:sz w:val="28"/>
        </w:rPr>
        <w:t>
          Ассигнования на оплату научно-технической продукции определяются 
исходя из планируемых объемов научных исследований и разработок по военной 
тематике с учетом их реализации и актуальности в пределах выделенных 
средств.
</w:t>
      </w:r>
      <w:r>
        <w:br/>
      </w:r>
      <w:r>
        <w:rPr>
          <w:rFonts w:ascii="Times New Roman"/>
          <w:b w:val="false"/>
          <w:i w:val="false"/>
          <w:color w:val="000000"/>
          <w:sz w:val="28"/>
        </w:rPr>
        <w:t>
          Капитальные вложения и ассигнования на строительство новых, 
реконструкцию и расширение действующих основных фондов определяются как 
совокупность затрат на создание нормальных условий для боевой и специальной 
подготовки, жизни и быта, хранения, содержания и ремонта вооружения, 
военной техники, имущества, работы органов управления, медицинского 
обслуживания и отдыха личного состава, а также обеспечение военнослужащих и 
членов их семей жильем и объектами социально-культурного и бытового 
назначения.
</w:t>
      </w:r>
      <w:r>
        <w:br/>
      </w:r>
      <w:r>
        <w:rPr>
          <w:rFonts w:ascii="Times New Roman"/>
          <w:b w:val="false"/>
          <w:i w:val="false"/>
          <w:color w:val="000000"/>
          <w:sz w:val="28"/>
        </w:rPr>
        <w:t>
          Ассигнования на пенсионное обеспечение военнослужащих Вооруженных Сил 
государств Содружества и членов их семей определяются исходя из численности 
пенсионеров и размеров назначенных им пенсий.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 - участники Содружества признают целесообразность того, 
что единый оборонный бюджет будет определяться в ценах базового года с 
учетом прогнозируемого индекса цен и мер по социальной защите 
военнослужащих и членов их семей.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Проект единого оборонного бюджета разрабатывается Главным 
командованием Вооруженных Сил государств Содружества, рассматривается 
Советом министров обороны (председателей комитетов по обороне) государств - 
участников Содружества и представляется Совету глав правительств 
Содружества.
</w:t>
      </w:r>
      <w:r>
        <w:br/>
      </w:r>
      <w:r>
        <w:rPr>
          <w:rFonts w:ascii="Times New Roman"/>
          <w:b w:val="false"/>
          <w:i w:val="false"/>
          <w:color w:val="000000"/>
          <w:sz w:val="28"/>
        </w:rPr>
        <w:t>
          Единый оборонный бюджет утверждается  Советом  глав  государств
Содружества по представлению Совета глав правительств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Государства - участники Содружества берут на себя обязательство 
участвовать в формировании единого оборонного бюджета путем внесения в него 
фиксированных взносов. Размер и порядок перечисления фиксированного взноса 
каждого государства - участника Содружества определяется Советом глав 
правительств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При возникновении в течение года потребности в дополнительных 
ассигнованиях, не учтенных в утвержденном едином оборонном бюджете, вопросы 
определения их объема, порядка зачисления в единый оборонный бюджет и 
финансирования Вооруженных Сил государств Содружества решаются в 
соответствии с настоящим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Годовой отчет об исполнении единого оборонного бюджета представляется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Главным командованием Вооруженных Сил государств Содружества Совету глав 
государств Содружества.
     Соглашение вступает в силу с момента его подписания.
     Совершено в г. Минске 14 февраля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Азербайджанскую     За Республику     За Республику
   Республику             Армения           Беларусь
   За Республику          За Республику     За Республику
   Казахстан              Кыргызстан        Молдова
   За Российскую          За Республику     За Туркменистан
   Федерацию              Таджикистан
   За Республику
   Узбекистан
     Особое мнение Азербайджанской Республики и Украины.
     Азербайджанская Республика и Украина не участвует в формировании 
единого оборонного бюджета на содержание Стратегических сил и Сил общего 
назначения, а осуществляет долевое финансирование только содержания 
Стратегических сил на своей территории на период, определенный для 
Азербайджанской Республики и Украины в соответствии с Минским соглашением 
между государствами - участниками Содружества Независимых Государств по 
Стратегическим силам от 30 декабря 1991 года.
   За Азербайджанскую                       За Украину
   Республику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