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db86" w14:textId="39dd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научно-техническом сотрудничестве в рамках государств- участников Содружества Независимых Государств</w:t>
      </w:r>
    </w:p>
    <w:p>
      <w:pPr>
        <w:spacing w:after="0"/>
        <w:ind w:left="0"/>
        <w:jc w:val="both"/>
      </w:pPr>
      <w:r>
        <w:rPr>
          <w:rFonts w:ascii="Times New Roman"/>
          <w:b w:val="false"/>
          <w:i w:val="false"/>
          <w:color w:val="000000"/>
          <w:sz w:val="28"/>
        </w:rPr>
        <w:t>Содружество Независимых Государств Соглашение от 13 марта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Правительства государств-участников настоящего Соглашения, далее 
именуемые Сторонами,
</w:t>
      </w:r>
      <w:r>
        <w:br/>
      </w:r>
      <w:r>
        <w:rPr>
          <w:rFonts w:ascii="Times New Roman"/>
          <w:b w:val="false"/>
          <w:i w:val="false"/>
          <w:color w:val="000000"/>
          <w:sz w:val="28"/>
        </w:rPr>
        <w:t>
          исходя из  долгосрочных  интересов,  связанных с необходимостью
сохранения и дальнейшего развития  научно-технического  потенциала
каждой из Сторон:
</w:t>
      </w:r>
      <w:r>
        <w:br/>
      </w:r>
      <w:r>
        <w:rPr>
          <w:rFonts w:ascii="Times New Roman"/>
          <w:b w:val="false"/>
          <w:i w:val="false"/>
          <w:color w:val="000000"/>
          <w:sz w:val="28"/>
        </w:rPr>
        <w:t>
          учитывая наличие высокоинтегрированных элементов научно-технического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потенциала, сложившихся научно-технических связей и недопустимость их 
неконтролируемого разрушения;
     признавая целесообразность межгосударственной кооперации в 
научно-технической сфере;
     в целях проведения согласованной научно-технической политики;
     договорились о нижеследующем:
                    Раздел I. Общие положения
                            Статья 1
     В рамках межгосударственного научно-технического сотрудничества 
Стороны:
     определяют приоритетные направления совместной научно-технической 
деятельности;
     определяют и выбирают формы совместной научно-технической деятельности;
     оказывают государственную поддержку совместным научным исследованиям и 
разработкам;
     формируют межгосударственные программы;
     регулируют вопросы создания и эксплуатации научно-технических объектов 
совместного использования;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сотрудничают в области подготовки специалистов с высшим образованием, 
научных и научно-педагогических кадров; охраны интеллектуальной 
собственности и обмена научно-технической информацией.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берут на себя обязательство:
</w:t>
      </w:r>
      <w:r>
        <w:br/>
      </w:r>
      <w:r>
        <w:rPr>
          <w:rFonts w:ascii="Times New Roman"/>
          <w:b w:val="false"/>
          <w:i w:val="false"/>
          <w:color w:val="000000"/>
          <w:sz w:val="28"/>
        </w:rPr>
        <w:t>
          осуществлять поддержку фундаментальных исследований;
</w:t>
      </w:r>
      <w:r>
        <w:br/>
      </w:r>
      <w:r>
        <w:rPr>
          <w:rFonts w:ascii="Times New Roman"/>
          <w:b w:val="false"/>
          <w:i w:val="false"/>
          <w:color w:val="000000"/>
          <w:sz w:val="28"/>
        </w:rPr>
        <w:t>
          координировать международные научно-технические связи по согласованным 
приоритетным направлениям развития науки и техники;
</w:t>
      </w:r>
      <w:r>
        <w:br/>
      </w:r>
      <w:r>
        <w:rPr>
          <w:rFonts w:ascii="Times New Roman"/>
          <w:b w:val="false"/>
          <w:i w:val="false"/>
          <w:color w:val="000000"/>
          <w:sz w:val="28"/>
        </w:rPr>
        <w:t>
          создавать правовые, экономические и организационные условия, 
гарантирующие равные права и ответственность всех организаций, предприятий 
и граждан, участвующих в межгосударственном научно-техническом 
сотрудничестве;
</w:t>
      </w:r>
      <w:r>
        <w:br/>
      </w:r>
      <w:r>
        <w:rPr>
          <w:rFonts w:ascii="Times New Roman"/>
          <w:b w:val="false"/>
          <w:i w:val="false"/>
          <w:color w:val="000000"/>
          <w:sz w:val="28"/>
        </w:rPr>
        <w:t>
          добиваться совместимости правовых норм, регулирующих 
научно-техническую деятельность;
</w:t>
      </w:r>
      <w:r>
        <w:br/>
      </w:r>
      <w:r>
        <w:rPr>
          <w:rFonts w:ascii="Times New Roman"/>
          <w:b w:val="false"/>
          <w:i w:val="false"/>
          <w:color w:val="000000"/>
          <w:sz w:val="28"/>
        </w:rPr>
        <w:t>
          создавать условия для развития прямых научно-технических связей между 
учеными, научными коллективами и организациями государств-участников;
</w:t>
      </w:r>
      <w:r>
        <w:br/>
      </w:r>
      <w:r>
        <w:rPr>
          <w:rFonts w:ascii="Times New Roman"/>
          <w:b w:val="false"/>
          <w:i w:val="false"/>
          <w:color w:val="000000"/>
          <w:sz w:val="28"/>
        </w:rPr>
        <w:t>
          проводить консультации и обмен информацией между органами управления 
государств, ответственных за формирование и реализацию научно-технической 
политики;
</w:t>
      </w:r>
      <w:r>
        <w:br/>
      </w:r>
      <w:r>
        <w:rPr>
          <w:rFonts w:ascii="Times New Roman"/>
          <w:b w:val="false"/>
          <w:i w:val="false"/>
          <w:color w:val="000000"/>
          <w:sz w:val="28"/>
        </w:rPr>
        <w:t>
          обеспечивать гармонизацию систем охраны промышленной собственности, 
научно-технической информации, стандартизации, метрологии и сертификации;
</w:t>
      </w:r>
      <w:r>
        <w:br/>
      </w:r>
      <w:r>
        <w:rPr>
          <w:rFonts w:ascii="Times New Roman"/>
          <w:b w:val="false"/>
          <w:i w:val="false"/>
          <w:color w:val="000000"/>
          <w:sz w:val="28"/>
        </w:rPr>
        <w:t>
          обеспечивать сопоставимость статистических показателей в  сфере
научно-технической деятельности;
</w:t>
      </w:r>
      <w:r>
        <w:br/>
      </w:r>
      <w:r>
        <w:rPr>
          <w:rFonts w:ascii="Times New Roman"/>
          <w:b w:val="false"/>
          <w:i w:val="false"/>
          <w:color w:val="000000"/>
          <w:sz w:val="28"/>
        </w:rPr>
        <w:t>
          сотрудничать в проведении научно-технической экспертизы.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Для координации взаимодействия государств в рамках настоящего 
Соглашения создается Межгосударственный научно-технический совет (МНТС).
</w:t>
      </w:r>
      <w:r>
        <w:br/>
      </w:r>
      <w:r>
        <w:rPr>
          <w:rFonts w:ascii="Times New Roman"/>
          <w:b w:val="false"/>
          <w:i w:val="false"/>
          <w:color w:val="000000"/>
          <w:sz w:val="28"/>
        </w:rPr>
        <w:t>
          Его функции, рабочие органы, местопребывание будут определены 
Положением об МНТС, утверждаемым Советом глав правительств 
государств-участников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Межгосударственные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Межгосударственное сотрудничество в решении комплексных 
научно-технических проблем реализуется в виде:
</w:t>
      </w:r>
      <w:r>
        <w:br/>
      </w:r>
      <w:r>
        <w:rPr>
          <w:rFonts w:ascii="Times New Roman"/>
          <w:b w:val="false"/>
          <w:i w:val="false"/>
          <w:color w:val="000000"/>
          <w:sz w:val="28"/>
        </w:rPr>
        <w:t>
          межгосударственных программ фундаментальных исследований;
</w:t>
      </w:r>
      <w:r>
        <w:br/>
      </w:r>
      <w:r>
        <w:rPr>
          <w:rFonts w:ascii="Times New Roman"/>
          <w:b w:val="false"/>
          <w:i w:val="false"/>
          <w:color w:val="000000"/>
          <w:sz w:val="28"/>
        </w:rPr>
        <w:t>
          межгосударственных научно-технических программ;
</w:t>
      </w:r>
      <w:r>
        <w:br/>
      </w:r>
      <w:r>
        <w:rPr>
          <w:rFonts w:ascii="Times New Roman"/>
          <w:b w:val="false"/>
          <w:i w:val="false"/>
          <w:color w:val="000000"/>
          <w:sz w:val="28"/>
        </w:rPr>
        <w:t>
          межгосударственных программ  и  проектов по развитию и освоению
новых технологий;
</w:t>
      </w:r>
      <w:r>
        <w:br/>
      </w:r>
      <w:r>
        <w:rPr>
          <w:rFonts w:ascii="Times New Roman"/>
          <w:b w:val="false"/>
          <w:i w:val="false"/>
          <w:color w:val="000000"/>
          <w:sz w:val="28"/>
        </w:rPr>
        <w:t>
          других межгосударственных программ и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Государство является участником межгосударственной программы в том 
случае, если для реализации программы им выделены ресурсы, виды и объемы 
которых должны быть согласованы с другими участниками программы.
</w:t>
      </w:r>
      <w:r>
        <w:br/>
      </w:r>
      <w:r>
        <w:rPr>
          <w:rFonts w:ascii="Times New Roman"/>
          <w:b w:val="false"/>
          <w:i w:val="false"/>
          <w:color w:val="000000"/>
          <w:sz w:val="28"/>
        </w:rPr>
        <w:t>
          Каждое государство участвует в конкретной программе на добровольной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Общие принципы формирования, реализации и финансирования программ 
определяются Положением о межгосударственных программах и другими 
документами, принимаемыми МНТС.
</w:t>
      </w:r>
      <w:r>
        <w:br/>
      </w:r>
      <w:r>
        <w:rPr>
          <w:rFonts w:ascii="Times New Roman"/>
          <w:b w:val="false"/>
          <w:i w:val="false"/>
          <w:color w:val="000000"/>
          <w:sz w:val="28"/>
        </w:rPr>
        <w:t>
          Каждая Сторона имеет право выступить с предложением о формировании 
конкретной межгосударственной программы. Решение о ее формировании 
принимается МНТС.
</w:t>
      </w:r>
      <w:r>
        <w:br/>
      </w:r>
      <w:r>
        <w:rPr>
          <w:rFonts w:ascii="Times New Roman"/>
          <w:b w:val="false"/>
          <w:i w:val="false"/>
          <w:color w:val="000000"/>
          <w:sz w:val="28"/>
        </w:rPr>
        <w:t>
          Результат формирования программы, условия участия в ней и порядок 
финансирования оформляются отдельным соглашением, заключаемым государствами,
 участвующими в программе.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Государства, участвующие в программе,  обладают равными правами
на ее научные результаты.
</w:t>
      </w:r>
      <w:r>
        <w:br/>
      </w:r>
      <w:r>
        <w:rPr>
          <w:rFonts w:ascii="Times New Roman"/>
          <w:b w:val="false"/>
          <w:i w:val="false"/>
          <w:color w:val="000000"/>
          <w:sz w:val="28"/>
        </w:rPr>
        <w:t>
          Распределение прибыли от использования результатов работ по 
научно-техническим программам осуществляется в соответствии с соглашением о 
программе.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Научно-технические объекты
</w:t>
      </w:r>
      <w:r>
        <w:br/>
      </w:r>
      <w:r>
        <w:rPr>
          <w:rFonts w:ascii="Times New Roman"/>
          <w:b w:val="false"/>
          <w:i w:val="false"/>
          <w:color w:val="000000"/>
          <w:sz w:val="28"/>
        </w:rPr>
        <w:t>
                                        совместного использования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Научно-технический объект (научно-техническая организация, 
научно-исследовательский и экспериментальный полигоны, информационные 
ресурсы и сети, библиотеки и др.), результаты деятельности которого 
используются несколькими государствами, приобретает статус объекта 
совместного использования исключительно с согласия его собственника.
</w:t>
      </w:r>
      <w:r>
        <w:br/>
      </w:r>
      <w:r>
        <w:rPr>
          <w:rFonts w:ascii="Times New Roman"/>
          <w:b w:val="false"/>
          <w:i w:val="false"/>
          <w:color w:val="000000"/>
          <w:sz w:val="28"/>
        </w:rPr>
        <w:t>
          Перечень научно-технических объектов совместного использования 
формируется, утверждается и пересматривается МНТС на основе предложений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Финансирование и эксплуатация объекта совместного использования
осуществляется в соответствии со специальными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Сотрудничество в области подготовки
</w:t>
      </w:r>
      <w:r>
        <w:br/>
      </w:r>
      <w:r>
        <w:rPr>
          <w:rFonts w:ascii="Times New Roman"/>
          <w:b w:val="false"/>
          <w:i w:val="false"/>
          <w:color w:val="000000"/>
          <w:sz w:val="28"/>
        </w:rPr>
        <w:t>
                            научных и научно-педагогических кадров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создают условия для подготовки кадров высшей научной 
квалификации и прохождения стажировки ученых в интересах других 
государств-участников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обеспечивают взаимную нострификацию документов о квалификации 
научных и научно-педагогических кадров. Порядок и условия нострификации 
определяются специальным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 Сотрудничество в области
</w:t>
      </w:r>
      <w:r>
        <w:br/>
      </w:r>
      <w:r>
        <w:rPr>
          <w:rFonts w:ascii="Times New Roman"/>
          <w:b w:val="false"/>
          <w:i w:val="false"/>
          <w:color w:val="000000"/>
          <w:sz w:val="28"/>
        </w:rPr>
        <w:t>
        научно-технической информации, стандартизации метрологии,
</w:t>
      </w:r>
      <w:r>
        <w:br/>
      </w:r>
      <w:r>
        <w:rPr>
          <w:rFonts w:ascii="Times New Roman"/>
          <w:b w:val="false"/>
          <w:i w:val="false"/>
          <w:color w:val="000000"/>
          <w:sz w:val="28"/>
        </w:rPr>
        <w:t>
                          сертификации, охраны интеллектуальной и
</w:t>
      </w:r>
      <w:r>
        <w:br/>
      </w:r>
      <w:r>
        <w:rPr>
          <w:rFonts w:ascii="Times New Roman"/>
          <w:b w:val="false"/>
          <w:i w:val="false"/>
          <w:color w:val="000000"/>
          <w:sz w:val="28"/>
        </w:rPr>
        <w:t>
                                        промышленной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Для информационного обеспечения сотрудничества в рамках настоящего 
Соглашения Стороны формируют межгосударственную систему обмена 
научно-технической информацией на основе существующих информационных 
структур.
</w:t>
      </w:r>
      <w:r>
        <w:br/>
      </w:r>
      <w:r>
        <w:rPr>
          <w:rFonts w:ascii="Times New Roman"/>
          <w:b w:val="false"/>
          <w:i w:val="false"/>
          <w:color w:val="000000"/>
          <w:sz w:val="28"/>
        </w:rPr>
        <w:t>
          Межгосударственный обмен научно-технической информацией регулируется 
специальным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Стороны признают необходимость согласованного развития государственных 
систем стандартизации, метрологии и сертификации.
</w:t>
      </w:r>
      <w:r>
        <w:br/>
      </w:r>
      <w:r>
        <w:rPr>
          <w:rFonts w:ascii="Times New Roman"/>
          <w:b w:val="false"/>
          <w:i w:val="false"/>
          <w:color w:val="000000"/>
          <w:sz w:val="28"/>
        </w:rPr>
        <w:t>
          Сотрудничество по этим вопросам осуществляется в соответствии со 
специальными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Вопросы охраны интеллектуальной собственности регулируются 
законодательными актами Сторон и специальными межгосударственными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До принятия Патентной конвенции сотрудничество Сторон по вопросам 
охраны промышленной собственности регулируется Временным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Для обеспечения согласованного развития государственных систем 
научно-технической информации, стандартизации, метрологии, сертификации, 
охраны промышленной собственности Стороны могут создавать координирующие 
органы и научно-технические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 Другие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Регулирование отношений в области научно-технического сотрудничества 
между Сторонами осуществляется на основе настоящего Соглашения и других 
соглашений, заключенных между ними.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Соглашение заключается сроком на 5 лет. Его действие может быть
продлено по взаимному согласию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Каждая Сторона имеет право свободного выхода из состава участников 
Соглашения путем письменного уведомления депозитария Соглашения не менее, 
чем за 12 месяцев до выхода, о чем государство-депозитарий уведомляет всех 
участников Соглашения в месячный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Участие в Соглашении не ограничивает права государств, его подписавших,
 на участие в любых других двусторонних и многосторонних формах 
межгосударственного научно-технического сотрудничества, в том числе и с 
государствами, не являющимися участниками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Соглашение открыто для вступления в него других государств.
</w:t>
      </w:r>
      <w:r>
        <w:br/>
      </w:r>
      <w:r>
        <w:rPr>
          <w:rFonts w:ascii="Times New Roman"/>
          <w:b w:val="false"/>
          <w:i w:val="false"/>
          <w:color w:val="000000"/>
          <w:sz w:val="28"/>
        </w:rPr>
        <w:t>
          Государство-депозитарий уведомляет государства-участники о вступлении 
новых членов в месячный срок и направляет им копии подписанного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Ассоциированное членство государств в данном Соглашении, с взятием на 
</w:t>
      </w:r>
      <w:r>
        <w:rPr>
          <w:rFonts w:ascii="Times New Roman"/>
          <w:b w:val="false"/>
          <w:i w:val="false"/>
          <w:color w:val="000000"/>
          <w:sz w:val="28"/>
        </w:rPr>
        <w:t>
</w:t>
      </w:r>
    </w:p>
    <w:p>
      <w:pPr>
        <w:spacing w:after="0"/>
        <w:ind w:left="0"/>
        <w:jc w:val="left"/>
      </w:pPr>
      <w:r>
        <w:rPr>
          <w:rFonts w:ascii="Times New Roman"/>
          <w:b w:val="false"/>
          <w:i w:val="false"/>
          <w:color w:val="000000"/>
          <w:sz w:val="28"/>
        </w:rPr>
        <w:t>
себя лишь части обязательств по нему, допускается с согласия всех 
государств-участников.
                            Статья 23
     Соглашение вступает в действие с момента подписания.
     Совершено в городе Москве 13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Правительство                       За Правительство
   Азербайджанской Республики             Российской Федерации
   (без подписи)
   За Правительство                       За Правительство
   Республики Армения                     Республики Таджикистан
   За Правительство                       За Правительство
   Республики Беларусь                    Туркменистана
                                          (без подписи)
   За Правительство                       За Правительство
   Республики Казахстан                   Республики Узбекистан
   За Правительство                       За Правительство
   Республики Кыргызстан                  Украины
   За Правительство
   Республики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