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6ec1" w14:textId="fa9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совместном использовании научно-технических объектов в рамках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Соглашение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Правительства государств-участников настоящего Соглашения,
</w:t>
      </w:r>
      <w:r>
        <w:br/>
      </w:r>
      <w:r>
        <w:rPr>
          <w:rFonts w:ascii="Times New Roman"/>
          <w:b w:val="false"/>
          <w:i w:val="false"/>
          <w:color w:val="000000"/>
          <w:sz w:val="28"/>
        </w:rPr>
        <w:t>
          в соответствии со статьей 4 Соглашения о создании Содружества 
Независимых Государств от 8 декабря 1991 г. и статьей 19 Соглашения о 
межгосударственном научно-техническом сотрудничестве в рамках Содружества 
Независимых Государств от 13 марта 1992 года,
</w:t>
      </w:r>
      <w:r>
        <w:br/>
      </w:r>
      <w:r>
        <w:rPr>
          <w:rFonts w:ascii="Times New Roman"/>
          <w:b w:val="false"/>
          <w:i w:val="false"/>
          <w:color w:val="000000"/>
          <w:sz w:val="28"/>
        </w:rPr>
        <w:t>
          Имея целью разработать практические меры, обеспечивающие эффективное и 
взаимовыгодное совместное использование научно-технических объектов, 
развитие научно-технического потенциала в приоритетных для науки и 
научно-технического прогресса областях,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Научно-технический объект, ресурсы и результаты деятельности 
которого используются несколькими государствами, приобретает статус объекта 
совместного использования исключительно с согласия его собственника.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Вопросы совместного использования объектов науки и продуктов 
научно-технической деятельности решаются исходя из целей обеспечения 
исследований по приоритетным направлениям научно-технического прогресса 
каждого государства и с учетом возможности их совместной разработки и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Объектами совместного использования являются: центральные 
библиотеки, государственные научно-информационные системы и ресурсы.
</w:t>
      </w:r>
      <w:r>
        <w:br/>
      </w:r>
      <w:r>
        <w:rPr>
          <w:rFonts w:ascii="Times New Roman"/>
          <w:b w:val="false"/>
          <w:i w:val="false"/>
          <w:color w:val="000000"/>
          <w:sz w:val="28"/>
        </w:rPr>
        <w:t>
          Государствам-участникам Соглашения о научно-техническом сотрудничестве 
в течение 5 лет предоставляется возможность безвозмездного пользования 
указанными объектами.
</w:t>
      </w:r>
      <w:r>
        <w:br/>
      </w:r>
      <w:r>
        <w:rPr>
          <w:rFonts w:ascii="Times New Roman"/>
          <w:b w:val="false"/>
          <w:i w:val="false"/>
          <w:color w:val="000000"/>
          <w:sz w:val="28"/>
        </w:rPr>
        <w:t>
          Перечень дополнительных используемых научно-технических объектов 
формируется, утверждается и пересматривается Межгосударственным 
научно-техническим советом на основе предложений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Стороны признают необходимым обеспечить работу совместно 
используемых объектов в режиме их самостоятельного функционирования с 
привлечением материально-финансовых ресурсов из различных источников в 
установленном каждой Стороной порядке.
</w:t>
      </w:r>
      <w:r>
        <w:br/>
      </w:r>
      <w:r>
        <w:rPr>
          <w:rFonts w:ascii="Times New Roman"/>
          <w:b w:val="false"/>
          <w:i w:val="false"/>
          <w:color w:val="000000"/>
          <w:sz w:val="28"/>
        </w:rPr>
        <w:t>
          Финансирование указанных объектов осуществляется за счет государств 
места их расположения.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Правовое регулирование использования дополнительных 
научно-технических объектов совместного использования осуществляется на 
основании законодательств Сторон в области государственной 
научно-технической политики, экономической и научно-технической 
деятельности, охраны интеллектуальной и промышленной собственности и 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Участники соглашения обеспечивают взаимную 
непротиворечивость действующих и разрабатываемых в этой сфере 
законодательных актов, опираясь при этом на общепринятые нормы 
международного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Финансовое и материально-техническое обеспечение 
дополнительных научно-технических объектов совместного использования 
осуществляется Сторонами на паритетных началах и в долях (объемах), 
отражающих целевой характер работ и потребности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Финансирование, эксплуатация и использование результатов 
деятельности данных объектов осуществляется на договорной основе между 
соответствующими организациями заинтересованных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Настоящее Соглашение заключается сроком на 5 лет и вступает 
в силу с момента его подписания. Его действие может быть продолжено по 
взаимному согласию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Соглашение открыто для присоединения к нему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Участие в Соглашении не ограничивает прав государств, его 
подписавших, на участие в любых других двусторонних и многосторонних формах 
межгосударственного сотрудничества в области совместного использования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научно-технических объектов.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Российской Федерации
   (без подписи)
   За Правительство                       За Правительство
   Республики Армения                     Республики Таджикистан
   За Правительство                       За Правительство
   Республики Беларусь                    Туркменистана
                                          (без подписи)
   За Правительство                       За Правительство
   Республики Казахстан                   Республики Узбекистан
   За Правительство                       За Правительство
   Республики Кыргызстан                  Украины
                                          (без подписи)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