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47a0" w14:textId="da34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взаимодействии пограничных войск государств-участников Содружества Независимых Государств при возникновении кризисных ситуаций на внешних границах</w:t>
      </w:r>
    </w:p>
    <w:p>
      <w:pPr>
        <w:spacing w:after="0"/>
        <w:ind w:left="0"/>
        <w:jc w:val="both"/>
      </w:pPr>
      <w:r>
        <w:rPr>
          <w:rFonts w:ascii="Times New Roman"/>
          <w:b w:val="false"/>
          <w:i w:val="false"/>
          <w:color w:val="000000"/>
          <w:sz w:val="28"/>
        </w:rPr>
        <w:t>Содружество Независимых Государств Соглашение от 17 мая 1996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вступает в силу со дня передачи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Сторонами депозитарию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третьего уведомления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о выполнении внутригосударственных процедур, необходимых для его вступления в силу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Республика Армения, Республика Беларусь, Республика Казахстан, Кыргызская Республика, Российская Федерация, Республика Таджикистан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27 сентября 1996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27 февраля 1997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27 января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7 июня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30 августа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9 марта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Соглашение вступило в силу 27 января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- 27 января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- 27 января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- 27 января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- 7 июня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- 30 августа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- 9 марта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Содружества Независимых Государств, подписавшие настоящее Соглашение, в дальнейшем именуемые Сторонами, 
</w:t>
      </w:r>
      <w:r>
        <w:br/>
      </w:r>
      <w:r>
        <w:rPr>
          <w:rFonts w:ascii="Times New Roman"/>
          <w:b w:val="false"/>
          <w:i w:val="false"/>
          <w:color w:val="000000"/>
          <w:sz w:val="28"/>
        </w:rPr>
        <w:t>
      признавая необходимость взаимодействия пограничных войск при возникновении кризисных ситуаций на внешних границах, 
</w:t>
      </w:r>
      <w:r>
        <w:br/>
      </w:r>
      <w:r>
        <w:rPr>
          <w:rFonts w:ascii="Times New Roman"/>
          <w:b w:val="false"/>
          <w:i w:val="false"/>
          <w:color w:val="000000"/>
          <w:sz w:val="28"/>
        </w:rPr>
        <w:t>
      руководствуясь Уставом Содружества Независимых Государств, Договором о коллективной безопасности, Концепцией охраны границ государств- участников Содружества Независимых Государств с государствами, не входящими в Содружество, Договором о сотрудничестве в охране границ государств-участников Содружества Независимых Государств с государствами, не входящими в Содружество, своим национальным законодательством, желанием способствовать взаимному обеспечению безопасности своих внешних границ, 
</w:t>
      </w:r>
      <w:r>
        <w:br/>
      </w:r>
      <w:r>
        <w:rPr>
          <w:rFonts w:ascii="Times New Roman"/>
          <w:b w:val="false"/>
          <w:i w:val="false"/>
          <w:color w:val="000000"/>
          <w:sz w:val="28"/>
        </w:rPr>
        <w:t>
      подтверждая свою приверженность положениям Хельсенского Заключительного акта о нерушимости границ, 
</w:t>
      </w:r>
      <w:r>
        <w:br/>
      </w:r>
      <w:r>
        <w:rPr>
          <w:rFonts w:ascii="Times New Roman"/>
          <w:b w:val="false"/>
          <w:i w:val="false"/>
          <w:color w:val="000000"/>
          <w:sz w:val="28"/>
        </w:rPr>
        <w:t>
      выражая решимость и впредь обеспечивать нерушимость внешних границ во имя спокойной жизни, безопасности своих народов и государств и их территориальной целостности,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В настоящем Соглашении термины означают: 
</w:t>
      </w:r>
      <w:r>
        <w:br/>
      </w:r>
      <w:r>
        <w:rPr>
          <w:rFonts w:ascii="Times New Roman"/>
          <w:b w:val="false"/>
          <w:i w:val="false"/>
          <w:color w:val="000000"/>
          <w:sz w:val="28"/>
        </w:rPr>
        <w:t>
      "внешние границы" - участники государственных границ государств- участников Содружества с государствами, не входящими в Содружество; 
</w:t>
      </w:r>
      <w:r>
        <w:br/>
      </w:r>
      <w:r>
        <w:rPr>
          <w:rFonts w:ascii="Times New Roman"/>
          <w:b w:val="false"/>
          <w:i w:val="false"/>
          <w:color w:val="000000"/>
          <w:sz w:val="28"/>
        </w:rPr>
        <w:t>
      "пограничные войска" - пограничные войска государств-участников Содружества; 
</w:t>
      </w:r>
      <w:r>
        <w:br/>
      </w:r>
      <w:r>
        <w:rPr>
          <w:rFonts w:ascii="Times New Roman"/>
          <w:b w:val="false"/>
          <w:i w:val="false"/>
          <w:color w:val="000000"/>
          <w:sz w:val="28"/>
        </w:rPr>
        <w:t>
      "кризисная ситуация" - это совокупность военно-политических и социальных конфликтов, которые дестабилизируют положение на участках внешней границы и требуют коллективных мер по ее стабилизации; 
</w:t>
      </w:r>
      <w:r>
        <w:br/>
      </w:r>
      <w:r>
        <w:rPr>
          <w:rFonts w:ascii="Times New Roman"/>
          <w:b w:val="false"/>
          <w:i w:val="false"/>
          <w:color w:val="000000"/>
          <w:sz w:val="28"/>
        </w:rPr>
        <w:t>
      "пограничная группировка" - формирование сил и средств пограничных войск государств-участников Содружества, выделенное Сторонами для выполнения задач по усилению охраны участков внешних границ в районе кризисной ситуации.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В случае возникновения или угрозы возникновения кризисной ситуации на каком-либо из участков внешних границ со стороны государства, не входящего в Содружество, Стороны по инициативе одного или нескольких государств- участников Содружества и по просьбе государства, на участке внешних границ которого возникла кризисная ситуация или создалась угроза ее возникновения, незамедлительно осуществляют консультации и определяют меры помощи по обеспечению стабильного положения на этих участках.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Каждая из Сторон с учетом своего законодательства и возможностей формирует и готовит воинские формирования для выполнения задач по стабилизации обстановки на участках внешних границ при возникновении кризисных ситуаций. 
</w:t>
      </w:r>
      <w:r>
        <w:br/>
      </w:r>
      <w:r>
        <w:rPr>
          <w:rFonts w:ascii="Times New Roman"/>
          <w:b w:val="false"/>
          <w:i w:val="false"/>
          <w:color w:val="000000"/>
          <w:sz w:val="28"/>
        </w:rPr>
        <w:t>
      Потребность сил и средств и условия пребывания пограничной группировки Стороны будут определять в соответствии с задачами в каждой конкретной обстановке. 
</w:t>
      </w:r>
      <w:r>
        <w:br/>
      </w:r>
      <w:r>
        <w:rPr>
          <w:rFonts w:ascii="Times New Roman"/>
          <w:b w:val="false"/>
          <w:i w:val="false"/>
          <w:color w:val="000000"/>
          <w:sz w:val="28"/>
        </w:rPr>
        <w:t>
      Руководство пограничной группировкой будет возлагаться на назначаемого Советом глав государств Содружества командующего по представлению Совета командующих Пограничными войсками и согласованию с соответствующими органами государства, на участке внешней границы которого возникла кризисная ситуация. 
</w:t>
      </w:r>
      <w:r>
        <w:br/>
      </w:r>
      <w:r>
        <w:rPr>
          <w:rFonts w:ascii="Times New Roman"/>
          <w:b w:val="false"/>
          <w:i w:val="false"/>
          <w:color w:val="000000"/>
          <w:sz w:val="28"/>
        </w:rPr>
        <w:t>
      Стороны определяют права и обязанности назначенного ими командующего, которыми он будет пользоваться (руководствоваться) на период действия пограничной группировки в районе кризисной ситуации. 
</w:t>
      </w:r>
      <w:r>
        <w:br/>
      </w:r>
      <w:r>
        <w:rPr>
          <w:rFonts w:ascii="Times New Roman"/>
          <w:b w:val="false"/>
          <w:i w:val="false"/>
          <w:color w:val="000000"/>
          <w:sz w:val="28"/>
        </w:rPr>
        <w:t>
      При командующем создается Объединенный штаб, состоящий из представителей пограничных войск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Стороны обязуются участвовать в финансировании пограничной группировки. 
</w:t>
      </w:r>
      <w:r>
        <w:br/>
      </w:r>
      <w:r>
        <w:rPr>
          <w:rFonts w:ascii="Times New Roman"/>
          <w:b w:val="false"/>
          <w:i w:val="false"/>
          <w:color w:val="000000"/>
          <w:sz w:val="28"/>
        </w:rPr>
        <w:t>
      Порядок и размеры финансирования, материально-технического обеспечения действий пограничной группировки в районе кризисной ситуации определяются Советом глав правительств Содружеств.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участвующие в создании пограничной группировки, определяют продолжительность ее действий на участке внешней границы, где возникла кризисная ситуация, порядок ее ввода-вывода и продления срока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Военнослужащие пограничной группировки, участвующие в районе кризисной ситуации, соблюдают Конституцию и законодательство того государства - участника Содружества, на территории которого они действуют. 
</w:t>
      </w:r>
      <w:r>
        <w:br/>
      </w:r>
      <w:r>
        <w:rPr>
          <w:rFonts w:ascii="Times New Roman"/>
          <w:b w:val="false"/>
          <w:i w:val="false"/>
          <w:color w:val="000000"/>
          <w:sz w:val="28"/>
        </w:rPr>
        <w:t>
      Вопросы юрисдикции, связанные с пребыванием военнослужащих пограничной группировки на территории государства-участника Содружества, где возникла кризисная ситуация, регулируются следующим образом: 
</w:t>
      </w:r>
      <w:r>
        <w:br/>
      </w:r>
      <w:r>
        <w:rPr>
          <w:rFonts w:ascii="Times New Roman"/>
          <w:b w:val="false"/>
          <w:i w:val="false"/>
          <w:color w:val="000000"/>
          <w:sz w:val="28"/>
        </w:rPr>
        <w:t>
      1. По делам о преступлениях, совершенных военнослужащими пограничной группировки на территории государства временного пребывания, применяется законодательство этого государства. 
</w:t>
      </w:r>
      <w:r>
        <w:br/>
      </w:r>
      <w:r>
        <w:rPr>
          <w:rFonts w:ascii="Times New Roman"/>
          <w:b w:val="false"/>
          <w:i w:val="false"/>
          <w:color w:val="000000"/>
          <w:sz w:val="28"/>
        </w:rPr>
        <w:t>
      2. Пункт 1 настоящей статьи не применяется: 
</w:t>
      </w:r>
      <w:r>
        <w:br/>
      </w:r>
      <w:r>
        <w:rPr>
          <w:rFonts w:ascii="Times New Roman"/>
          <w:b w:val="false"/>
          <w:i w:val="false"/>
          <w:color w:val="000000"/>
          <w:sz w:val="28"/>
        </w:rPr>
        <w:t>
      а) в случае совершения военнослужащими пограничной группировки преступлений, направленных против граждан и страны их постоянного пребывания; 
</w:t>
      </w:r>
      <w:r>
        <w:br/>
      </w:r>
      <w:r>
        <w:rPr>
          <w:rFonts w:ascii="Times New Roman"/>
          <w:b w:val="false"/>
          <w:i w:val="false"/>
          <w:color w:val="000000"/>
          <w:sz w:val="28"/>
        </w:rPr>
        <w:t>
      б) в случае совершения военнослужащими пограничной группировки, находящимися на территории государства временного пребывания, воинских преступлений. 
</w:t>
      </w:r>
      <w:r>
        <w:br/>
      </w:r>
      <w:r>
        <w:rPr>
          <w:rFonts w:ascii="Times New Roman"/>
          <w:b w:val="false"/>
          <w:i w:val="false"/>
          <w:color w:val="000000"/>
          <w:sz w:val="28"/>
        </w:rPr>
        <w:t>
      По делам указанным в подпунктах "а" и "б" настоящего пункта, действуют суды и другие компетентные органы на основе законов страны постоянного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Сторона, на участке внешней границы которой сложилась кризисная ситуация, принимает на себя обязательства по обеспечению группировки пограничных войск, предназначенной для оказания помощи в устранении этой ситуации, казарменным и служебным фондом, аэродромами, пунктами базирования, железнодорожными подъездными путями, транспортом, почтовой, телефонно-телеграфной радиосвязью и финансирует расходы, связанные с этим. 
</w:t>
      </w:r>
      <w:r>
        <w:br/>
      </w:r>
      <w:r>
        <w:rPr>
          <w:rFonts w:ascii="Times New Roman"/>
          <w:b w:val="false"/>
          <w:i w:val="false"/>
          <w:color w:val="000000"/>
          <w:sz w:val="28"/>
        </w:rPr>
        <w:t>
      Стороны гарантируют военнослужащим, входящим в состав пограничной группировки, правовую и социальную защищенность.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Сторона, на участке внешней границы которой создалась кризисная ситуация, и другие заинтересованные Стороны обеспечат пограничную группировку, находящуюся в районе кризисной ситуации, необходимой информацией. 
</w:t>
      </w:r>
      <w:r>
        <w:br/>
      </w:r>
      <w:r>
        <w:rPr>
          <w:rFonts w:ascii="Times New Roman"/>
          <w:b w:val="false"/>
          <w:i w:val="false"/>
          <w:color w:val="000000"/>
          <w:sz w:val="28"/>
        </w:rPr>
        <w:t>
      Руководитель пограничной группировки своевременно информирует Стороны о положении, состоянии и действиях в районе кризисной ситуации. 
</w:t>
      </w:r>
      <w:r>
        <w:br/>
      </w:r>
      <w:r>
        <w:rPr>
          <w:rFonts w:ascii="Times New Roman"/>
          <w:b w:val="false"/>
          <w:i w:val="false"/>
          <w:color w:val="000000"/>
          <w:sz w:val="28"/>
        </w:rPr>
        <w:t>
      Стороны дополнительно согласуют порядок контроля за действиями пограничной группировки и обстановкой на участке внешней границы, где возникла кризисная ситуация.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По взаимному согласию Сторон в настоящее Соглашение могут вноситься дополнения и изменения. 
</w:t>
      </w:r>
      <w:r>
        <w:br/>
      </w:r>
      <w:r>
        <w:rPr>
          <w:rFonts w:ascii="Times New Roman"/>
          <w:b w:val="false"/>
          <w:i w:val="false"/>
          <w:color w:val="000000"/>
          <w:sz w:val="28"/>
        </w:rPr>
        <w:t>
      Разногласия относительно толкования и применения настоящего Соглашения будут решаться путем переговоров и взаимных консультаций.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Настоящее Соглашение вступает в силу со дня передачи Сторонами депозитарию третьего уведомления о выполнении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Соглашение заключается сроком на пять лет и будет автоматически продлеваться каждый раз на последующий пятилетний период. Каждая из Сторон может выйти из настоящего Соглашения путем письменного уведомления депозитария об этом не менее чем за шесть месяцев до выхода из Соглашения. 
</w:t>
      </w:r>
      <w:r>
        <w:br/>
      </w:r>
      <w:r>
        <w:rPr>
          <w:rFonts w:ascii="Times New Roman"/>
          <w:b w:val="false"/>
          <w:i w:val="false"/>
          <w:color w:val="000000"/>
          <w:sz w:val="28"/>
        </w:rPr>
        <w:t>
      Настоящее Соглашение открыто для присоединения других государств- участников Содружества Независимых Государств. 
</w:t>
      </w:r>
      <w:r>
        <w:br/>
      </w:r>
      <w:r>
        <w:rPr>
          <w:rFonts w:ascii="Times New Roman"/>
          <w:b w:val="false"/>
          <w:i w:val="false"/>
          <w:color w:val="000000"/>
          <w:sz w:val="28"/>
        </w:rPr>
        <w:t>
      Совершено в городе Москве 17 мая 1996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