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a97d" w14:textId="e24a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Решения Совета глав правительств Содружества Независимых Государств об Общем положении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от 21 октября 1994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23 января 1997 года N С-1/17-96</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заместителя Председателя Экономического Суда Апостола Д.Д.,
</w:t>
      </w:r>
      <w:r>
        <w:br/>
      </w:r>
      <w:r>
        <w:rPr>
          <w:rFonts w:ascii="Times New Roman"/>
          <w:b w:val="false"/>
          <w:i w:val="false"/>
          <w:color w:val="000000"/>
          <w:sz w:val="28"/>
        </w:rPr>
        <w:t>
      судей Экономического Суда: Бекенова Р.А., Вылкова И.К., Дашука Л.А., Махмудовой Л.Ш., Плаксина С.А., Симоняна Г.В.,
</w:t>
      </w:r>
      <w:r>
        <w:br/>
      </w:r>
      <w:r>
        <w:rPr>
          <w:rFonts w:ascii="Times New Roman"/>
          <w:b w:val="false"/>
          <w:i w:val="false"/>
          <w:color w:val="000000"/>
          <w:sz w:val="28"/>
        </w:rPr>
        <w:t>
      при секретаре Мадудиной Т.И.,
</w:t>
      </w:r>
      <w:r>
        <w:br/>
      </w:r>
      <w:r>
        <w:rPr>
          <w:rFonts w:ascii="Times New Roman"/>
          <w:b w:val="false"/>
          <w:i w:val="false"/>
          <w:color w:val="000000"/>
          <w:sz w:val="28"/>
        </w:rPr>
        <w:t>
      с участием Генеральных советников Экономического Суда: Зацепиной Т.Н., Прониной М.Г., представителя Совета Межпарламентской Ассамблеи государств-участников Содружества Независимых Государств Лапина Б.Н.,
</w:t>
      </w:r>
      <w:r>
        <w:br/>
      </w:r>
      <w:r>
        <w:rPr>
          <w:rFonts w:ascii="Times New Roman"/>
          <w:b w:val="false"/>
          <w:i w:val="false"/>
          <w:color w:val="000000"/>
          <w:sz w:val="28"/>
        </w:rPr>
        <w:t>
      рассмотрев в открытом судебном заседании дело по запросу Генерального секретаря Совета Межпарламентской Ассамблеи государств-участников Содружества Независимых Государств о толковании,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Генеральный секретарь Совета Межпарламентской Ассамблеи в своем запросе просит дать толкование части второй 
</w:t>
      </w:r>
      <w:r>
        <w:rPr>
          <w:rFonts w:ascii="Times New Roman"/>
          <w:b w:val="false"/>
          <w:i w:val="false"/>
          <w:color w:val="000000"/>
          <w:sz w:val="28"/>
        </w:rPr>
        <w:t xml:space="preserve"> Решения </w:t>
      </w:r>
      <w:r>
        <w:rPr>
          <w:rFonts w:ascii="Times New Roman"/>
          <w:b w:val="false"/>
          <w:i w:val="false"/>
          <w:color w:val="000000"/>
          <w:sz w:val="28"/>
        </w:rPr>
        <w:t>
 Совета глав правительств Содружества Независимых Государств от 21 октября 1994 года об общем положении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предусматривающей, что "указанные документы вступают в силу с момента принятия решения об учреждении Межгосударственного экономического Комитета Экономического союза и уточнения структуры органов Содружества Независимых Государств", на предмет установления (определения) момента вступления указанного Решения в силу, а также об обязательности распространения (применения) на Межпарламентскую Ассамблею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и Общего положения о межгосударственных (межправительственных) органах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данных вопросов необходимо, как указывает заявитель, для определения правового положения служащих Секретариата Совета Межпарламентской Ассамблеи при заключении Соглашения между Правительством Российской Федерации и Межпарламентской Ассамблеей государств-участников Содружества Независимых Государств об условиях ее пребывания на территории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Бекенова Р.А., представителя Совета Межпарламентской Ассамблеи государств-участников Содружества Независимых Государств Лапина Б.Н., изучив имеющиеся в деле документы, обсудив заключение Генеральных советников Экономического Суда Зацепиной Т.Н. и Прониной М.Г., Экономический Суд пришел к следующим выводам.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своей правовой форме 
</w:t>
      </w:r>
      <w:r>
        <w:rPr>
          <w:rFonts w:ascii="Times New Roman"/>
          <w:b w:val="false"/>
          <w:i w:val="false"/>
          <w:color w:val="000000"/>
          <w:sz w:val="28"/>
        </w:rPr>
        <w:t xml:space="preserve"> Решение </w:t>
      </w:r>
      <w:r>
        <w:rPr>
          <w:rFonts w:ascii="Times New Roman"/>
          <w:b w:val="false"/>
          <w:i w:val="false"/>
          <w:color w:val="000000"/>
          <w:sz w:val="28"/>
        </w:rPr>
        <w:t>
 Совета глав правительств Содружества Независимых Государств от 21 октября 1994 года об Общем положении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представляет собой акт органа международной организации (сообщества). С точки зрения правовой структуры он состоит из двух частей: 1) нормы об утверждении положения об органах международной организации (сообщества) с приложением утвержденных документов; 2) нормы, определяющей порядок вступления в силу указанных документов. Такого рода правовые акты относятся к внутреннему или "уставному" праву международной организации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Правовая природа толкуемого Решения предопределяет круг источников применимого права, на которых Суд основывал свои выводы. К ним относятся: общепризнанные нормы и принципы создания и функционирования международных организаций; положения учредительных документов Содружества; нормы Устава Содружества Независимых Государств; Правила процедуры Совета глав государств и Совета глав правительств Содружества Независимых Государств; другие акты Содружества, связанные с уточнением (совершенствованием) структуры органов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Принимая во внимание правовую структуру толкуемого Решения и то обстоятельство, что предусмотренный в тексте порядок вступления в силу касается не нормы об утверждении Общего положения о межгосударственных (межправительственных) органах Содружества Независимых Государств и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а указанных документов, можно заключить, что предметом первого вопроса запроса является возможность применения толкуемого Решения к правоотношениям с участием органов Содружества, которая связывается с моментом вступления в силу названных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Вступление в силу документов, утвержденных Решением Совета глав правительств Содружества Независимых Государств от 21 октября 1994 года, - Общего положения о межгосударственных (межправительственных) органах Содружества Независимых Государств и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обусловлено согласно части второй названного Решения наступлением двух фактов: принятием решения об учреждении Межгосударственного экономического Комитета Экономического союза и уточнением структуры органов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Наступление первого из указанных фактов не может вызывать разночтений.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правовых актов Содружества, регламентирующих создание и функционирование Межгосударственного экономического Комитета Экономического союза (МЭКа), показывает, что к учредительным документам данного органа относятся: 
</w:t>
      </w:r>
      <w:r>
        <w:rPr>
          <w:rFonts w:ascii="Times New Roman"/>
          <w:b w:val="false"/>
          <w:i w:val="false"/>
          <w:color w:val="000000"/>
          <w:sz w:val="28"/>
        </w:rPr>
        <w:t xml:space="preserve"> Соглашение </w:t>
      </w:r>
      <w:r>
        <w:rPr>
          <w:rFonts w:ascii="Times New Roman"/>
          <w:b w:val="false"/>
          <w:i w:val="false"/>
          <w:color w:val="000000"/>
          <w:sz w:val="28"/>
        </w:rPr>
        <w:t>
 о создании Межгосударственного экономического Комитета Экономического союза от 21 октября 1994 года с двумя приложениями: 1) Положением о Межгосударственном экономическом Комитете Экономического союза и 2) Порядком распределения голосов на период до 1 января 1998 года для принятия решений Президиумом и Коллегией МЭК квалифицированным большинством с учетом экономического потенциала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 xml:space="preserve"> статьям 2 </w:t>
      </w:r>
      <w:r>
        <w:rPr>
          <w:rFonts w:ascii="Times New Roman"/>
          <w:b w:val="false"/>
          <w:i w:val="false"/>
          <w:color w:val="000000"/>
          <w:sz w:val="28"/>
        </w:rPr>
        <w:t>
 и 
</w:t>
      </w:r>
      <w:r>
        <w:rPr>
          <w:rFonts w:ascii="Times New Roman"/>
          <w:b w:val="false"/>
          <w:i w:val="false"/>
          <w:color w:val="000000"/>
          <w:sz w:val="28"/>
        </w:rPr>
        <w:t xml:space="preserve"> 5 Венской конвенции </w:t>
      </w:r>
      <w:r>
        <w:rPr>
          <w:rFonts w:ascii="Times New Roman"/>
          <w:b w:val="false"/>
          <w:i w:val="false"/>
          <w:color w:val="000000"/>
          <w:sz w:val="28"/>
        </w:rPr>
        <w:t>
 о праве международных договоров 1969 года конкретное наименование договора учреждающего характера не меняет его правовой природы как международного соглашения, выражающего согласованную волю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Следовательно, момент принятия решения об учреждении МЭКа определяется датой подписания Соглашения о создании Межгосударственного экономического Комитета Экономического союза от 21 октября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установления второго из названных в части второй толкуемого Решения фактов необходимо определить понятие "уточнение структуры органов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Изучение вышеназванных источников применимого права свидетельствует, что понятие "структура органов Содружества" может быть истолковано двояким образом: 1) в значении внутренней структуры (системы органов) Содружества Независимых Государств; 2) в значении внутренней структуры каждого из органов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положениями "уставного" права международной организации (сообщества) внутренняя структура Содружества как система его органов предопределяется в учредительных документах Содружества и закрепляется во вторичном (по отношению к учредительным документам) источнике права Содружества - Уставе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Сопоставление учредительных документов Содружества (
</w:t>
      </w:r>
      <w:r>
        <w:rPr>
          <w:rFonts w:ascii="Times New Roman"/>
          <w:b w:val="false"/>
          <w:i w:val="false"/>
          <w:color w:val="000000"/>
          <w:sz w:val="28"/>
        </w:rPr>
        <w:t xml:space="preserve"> Соглашения </w:t>
      </w:r>
      <w:r>
        <w:rPr>
          <w:rFonts w:ascii="Times New Roman"/>
          <w:b w:val="false"/>
          <w:i w:val="false"/>
          <w:color w:val="000000"/>
          <w:sz w:val="28"/>
        </w:rPr>
        <w:t>
 о создании Содружества Независимых Государств от 8 декабря 1991 года и Протокола к Соглашению о создании Содружества Независимых Государств, подписанному 8 декабря 1991 года в г. Минске Республикой Беларусь, Российской Федерацией (РСФСР), Украиной, от 21 декабря 1991 года) с Уставом Содружества Независимых Государств, принятым Советом глав государств Содружества Независимых Государств 22 января 1993 года, показывает, что в Устав включены лишь те органы, характер и функции которых наиболее соответствуют целям Содружества и обязательствам государств-членов Содружества, реализуемым в сферах совместной деятельности через общие координационные институты (
</w:t>
      </w:r>
      <w:r>
        <w:rPr>
          <w:rFonts w:ascii="Times New Roman"/>
          <w:b w:val="false"/>
          <w:i w:val="false"/>
          <w:color w:val="000000"/>
          <w:sz w:val="28"/>
        </w:rPr>
        <w:t xml:space="preserve"> статья 4 </w:t>
      </w:r>
      <w:r>
        <w:rPr>
          <w:rFonts w:ascii="Times New Roman"/>
          <w:b w:val="false"/>
          <w:i w:val="false"/>
          <w:color w:val="000000"/>
          <w:sz w:val="28"/>
        </w:rPr>
        <w:t>
 Устава). При этом в Уставе непосредственно названы только органы, наделенные общей компетенцией (обсуждающие и решающие принципиальные вопросы развития Содружества); органы, обладающие специальной компетенцией (советы, комитеты), предусматриваются под обобщенным термином "органы отраслевого сотрудничества" (статья 34). Вхождение и тех, и других органов во внутреннюю структуру Содружества Независимых Государств однозначно определено включением их в специальный раздел VI "Органы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положений данного раздела свидетельствует, что определяющим критерием принадлежности органа, непосредственно не названного в Уставе Содружества Независимых Государств, к системе органов Содружества служит наличие у него признаков органа международной организации (сообщества) (один из них упомянут конкретно - учреждение на основе соглашений государств-членов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Несомненно, что "уточнение структуры органов Содружества" в контексте изменения внутренней структуры Содружества как системы его органов может быть осуществлено лишь путем внесения соответствующих поправок в Устав СНГ высшим органом Содружества, принявшим Устав, - Советом глав государств (
</w:t>
      </w:r>
      <w:r>
        <w:rPr>
          <w:rFonts w:ascii="Times New Roman"/>
          <w:b w:val="false"/>
          <w:i w:val="false"/>
          <w:color w:val="000000"/>
          <w:sz w:val="28"/>
        </w:rPr>
        <w:t xml:space="preserve"> статья 42 </w:t>
      </w:r>
      <w:r>
        <w:rPr>
          <w:rFonts w:ascii="Times New Roman"/>
          <w:b w:val="false"/>
          <w:i w:val="false"/>
          <w:color w:val="000000"/>
          <w:sz w:val="28"/>
        </w:rPr>
        <w:t>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имеющиеся в деле документы позволяют судить об иных намерениях государств-участников Содружества при принятии Решения об Общем положении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Право принять окончательное решение по этим документам было делегировано главам правительств государств-участников Содружества Советом глав государств (пункт 3 Решения о совершенствовании деятельности органов Содружества Независимых Государств от 21 октября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Суд считает в связи с этим, что под "уточнением структуры органов Содружества" подразумевалось определение Советом глав государств (главами государств) или Советом глав правительств (главами правительств) Содружества правового статуса органов Содружества путем принятия соответствующих решений в рамках предусмотренной Уставом СНГ внутренней структуры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Уставное право Содружества содержит достаточное нормативное основание для этого, закрепляя принцип регламентации правового положения органа международной организации (сообщества) актами других органов по линии иерархии (соподчиненности). Согласно этому принципу деятельность органов Содружества, непосредственно названных в 
</w:t>
      </w:r>
      <w:r>
        <w:rPr>
          <w:rFonts w:ascii="Times New Roman"/>
          <w:b w:val="false"/>
          <w:i w:val="false"/>
          <w:color w:val="000000"/>
          <w:sz w:val="28"/>
        </w:rPr>
        <w:t xml:space="preserve"> разделе VI </w:t>
      </w:r>
      <w:r>
        <w:rPr>
          <w:rFonts w:ascii="Times New Roman"/>
          <w:b w:val="false"/>
          <w:i w:val="false"/>
          <w:color w:val="000000"/>
          <w:sz w:val="28"/>
        </w:rPr>
        <w:t>
 Устава СНГ, осуществляется в соответствии с положениями о них, утверждаемыми Советом глав государств. Применительно же к тем органам, которые не названы непосредственно, а объединены под родовым понятием "органы отраслевого сотрудничества", Устав допускает возможность утверждения положений о них Советом глав правительств. Такой вывод следует из сопоставления содержания 
</w:t>
      </w:r>
      <w:r>
        <w:rPr>
          <w:rFonts w:ascii="Times New Roman"/>
          <w:b w:val="false"/>
          <w:i w:val="false"/>
          <w:color w:val="000000"/>
          <w:sz w:val="28"/>
        </w:rPr>
        <w:t xml:space="preserve"> статей 22 </w:t>
      </w:r>
      <w:r>
        <w:rPr>
          <w:rFonts w:ascii="Times New Roman"/>
          <w:b w:val="false"/>
          <w:i w:val="false"/>
          <w:color w:val="000000"/>
          <w:sz w:val="28"/>
        </w:rPr>
        <w:t>
 (о координации Советом глав правительств сотрудничества органов исполнительной власти государств-членов Содружества) и 
</w:t>
      </w:r>
      <w:r>
        <w:rPr>
          <w:rFonts w:ascii="Times New Roman"/>
          <w:b w:val="false"/>
          <w:i w:val="false"/>
          <w:color w:val="000000"/>
          <w:sz w:val="28"/>
        </w:rPr>
        <w:t xml:space="preserve"> 34 Устава СНГ </w:t>
      </w:r>
      <w:r>
        <w:rPr>
          <w:rFonts w:ascii="Times New Roman"/>
          <w:b w:val="false"/>
          <w:i w:val="false"/>
          <w:color w:val="000000"/>
          <w:sz w:val="28"/>
        </w:rPr>
        <w:t>
 (о включении в состав органов отраслевого сотрудничества руководителей соответствующих органов исполнительной власти государств-членов Содружества и внесении этими органами предложений на рассмотрение Совета глав правительств).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Это означает, что Совету глав государств (главам государств) и Совету глав правительств (главам правительств) подведомственны все вопросы правового положения того или иного органа в системе органов Содружества, не урегулированные учредительными документами и Уставом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Из анализа уставных положений вытекает, что такого рода регламентация, имеющая право в силу своего влияния на внутреннюю структуру Содружества характеризоваться как "уточнение структуры органов Содружества", возможна, прежде всего, в рамках статьи 34 Устава, путем придания соответствующего статуса "органа Содружества" действующим и вновь создаваемым органам, подпадающим под действие этой нормы.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Данный вывод подтверждается документами Содружества, принятыми начиная с 21 октября 1994 года (решениями Совета глав правительств Содружества Независимых Государств "О начале формирования Межгосударственного экономического Комитета Экономического союза" от 9 декабря 1994 года, пункт 4; "О Межгосударственном экономическом Комитете Экономического союза" от 26 мая 1995 года, пункт 2; "О деятельности межгосударственных и межправительственных органов СНГ, занимающихся координацией вопросов экономического характера" от 3 ноября 1995 года, пункт 3, и другими).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показывает изучение этих документов, необходимость "уточнения структуры органов Содружества" была вызвана, в первую очередь, созданием постоянно действующего координирующего и исполнительного органа Экономического союза - Межгосударственного экономического Комитета. Отчасти именно тем обстоятельством, что Аппарату МЭКа передавались (придавались) функции рабочих аппаратов межгосударственных, межправительственных координационно-консультативных органов по общеэкономическим, социальным и производственно-отраслевым вопросам сотрудничества, объясняется, по мнению Суда, обусловленность порядка вступления в силу документов, утвержденных толкуемым Решением, наступлением двух фактов: принятием решения об учреждении Межгосударственного экономического Комитета Экономического союза и уточнением структуры органов Содружества Независимых Государств. Очевидно, что предполагаемое изменение внутренней структуры ряда органов отраслевого сотрудничества могло поставить под сомнение возможность отнесения их к межгосударственным (межправительственным) органам Содружества, на которые распространяется действие Общего положения о межгосударственных (межправительственных) органах Содружества Независимых Государств (пункт 1).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Наряду с этим "уточнение структуры органов Содружества" в понимании Суда, основанном на вышеназванных источниках применимого права, может иметь своим предметом придание надлежащего статуса в системе органов Содружества Межпарламентской Ассамблее государств-участников Содружества Независимых Государства (МПА).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нельзя не отметить, что в Уставе Содружества Независимых Государств не определено надлежащим образом правовое положение Межпарламентской Ассамблеи государств-участников Содружества Независимых Государств. 
</w:t>
      </w:r>
      <w:r>
        <w:rPr>
          <w:rFonts w:ascii="Times New Roman"/>
          <w:b w:val="false"/>
          <w:i w:val="false"/>
          <w:color w:val="000000"/>
          <w:sz w:val="28"/>
        </w:rPr>
        <w:t xml:space="preserve"> Статьи 36 </w:t>
      </w:r>
      <w:r>
        <w:rPr>
          <w:rFonts w:ascii="Times New Roman"/>
          <w:b w:val="false"/>
          <w:i w:val="false"/>
          <w:color w:val="000000"/>
          <w:sz w:val="28"/>
        </w:rPr>
        <w:t>
 и 
</w:t>
      </w:r>
      <w:r>
        <w:rPr>
          <w:rFonts w:ascii="Times New Roman"/>
          <w:b w:val="false"/>
          <w:i w:val="false"/>
          <w:color w:val="000000"/>
          <w:sz w:val="28"/>
        </w:rPr>
        <w:t xml:space="preserve"> 37 Устава </w:t>
      </w:r>
      <w:r>
        <w:rPr>
          <w:rFonts w:ascii="Times New Roman"/>
          <w:b w:val="false"/>
          <w:i w:val="false"/>
          <w:color w:val="000000"/>
          <w:sz w:val="28"/>
        </w:rPr>
        <w:t>
, определяющие сферу компетенции МПА, не включены в раздел VI "Органы Содружества", а объединены в самостоятельный раздел VII "Межпарламентское сотрудничество". Возникающие в связи с этим проблемы неоднозначного понимания и применения уставных положений в механизме взаимодействия МПА с другими органами Содружества явились, как свидетельствуют представленные Суду материалы, главной причиной подписания главами государств-участников Содружества акта, уточняющего (определяющего) правовой статус Межпарламентской Ассамблеи государств-участников Содружества Независимых Государств в системе органов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Приведенные доводы вместе с тем не означают, что Суд связывает вступление в силу документов, утвержденных толкуемым Решением, с моментом принятия компетентным органом Содружества решения о завершении работы по уточнению структуры органов Содружества как системы взаимодействующих органов международной организации. Сам по себе процесс совершенствования внутриорганизационного механизма неизменно присущ любой международной организации, определяя ее дееспособность и развитие, и не может быть ограничен временными рамками. Об этом свидетельствует в том числе поступившая из Межгосударственного экономического Комитета Экономического союза информация о намерении внести на рассмотрение Совета глав правительств соответствующие предложения в рамках предоставленных МЭКу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Суд полагает, что при ответе на первый вопрос запроса следует учитывать ту специфику вступления в силу решений органов международной организации (сообщества), которая заключается в их адресном характере. Так, например, в учредительных договорах Европейских Сообществ в качестве положений, имеющих общее значение для всех институтов Европейского Союза, устанавливается, что решения доводятся до сведения тех, кого они касаются, и вступают в силу в результате такого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 для применения аналогии в данном случае дает изучение принятых после 21 октября 1994 года решений Совета глав правительств Содружества ("О переименовании Статистического комитета Содружества Независимых Государств" от 26 мая 1995 года; "
</w:t>
      </w:r>
      <w:r>
        <w:rPr>
          <w:rFonts w:ascii="Times New Roman"/>
          <w:b w:val="false"/>
          <w:i w:val="false"/>
          <w:color w:val="000000"/>
          <w:sz w:val="28"/>
        </w:rPr>
        <w:t xml:space="preserve"> О придании Совету руководителей </w:t>
      </w:r>
      <w:r>
        <w:rPr>
          <w:rFonts w:ascii="Times New Roman"/>
          <w:b w:val="false"/>
          <w:i w:val="false"/>
          <w:color w:val="000000"/>
          <w:sz w:val="28"/>
        </w:rPr>
        <w:t>
 министерств и ведомств государств-членов Содружества по сотрудничеству в области химии и нефтехимии статуса межправительственного органа" от 12 апреля 1996 года; "
</w:t>
      </w:r>
      <w:r>
        <w:rPr>
          <w:rFonts w:ascii="Times New Roman"/>
          <w:b w:val="false"/>
          <w:i w:val="false"/>
          <w:color w:val="000000"/>
          <w:sz w:val="28"/>
        </w:rPr>
        <w:t xml:space="preserve"> О Дирекции Совета по железнодорожному </w:t>
      </w:r>
      <w:r>
        <w:rPr>
          <w:rFonts w:ascii="Times New Roman"/>
          <w:b w:val="false"/>
          <w:i w:val="false"/>
          <w:color w:val="000000"/>
          <w:sz w:val="28"/>
        </w:rPr>
        <w:t>
 транспорту государств-участников Содружества" от 12 апреля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Названными документами главы правительств Содружества решили вопрос о введении в действие Общего положения о межгосударственных (межправительственных) органах Содружества Независимых Государств применительно к тем действующим органам, правовой статус которых во внутренней структуре Содружества не был определен Уставом СНГ либо определен неоднозначно (статья 34).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отношении органов, образованных (в рамках предусмотренной Уставом СНГ структуры Содружества) после принятия толкуемого Решения Совета глав правительств Содружества от 21 октября 1994 года, отмеченная тенденция проявляется в том, что при определении вновь созданного органа как межгосударственного (межправительственного) органа Содружества Независимых Государств в положение об этом органе включается норма о распространении на него действия Общего положения о межгосударственных (межправительственных) органах Содружества Независимых Государств, утвержденного Решением Совета глав правительств Содружества от 21 октября 1994 года. Одним из примеров такого прецедента может служить Решение Совета глав правительств Содружества о создании Межправительственного координационного совета по вопросам семеноводства Содружества Независимых Государств от 18 октября 1996 года с прилагаемым к нему положением о названном органе.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второй из фактов, указанных в части второй толкуемого Решения, обуславливающий вступление в силу утвержденных им документов, - "уточнение структуры органов Содружества Независимых Государств" - устанавливается применительно к каждому конкретному органу при определении его правового статуса в структуре (системе органов) Содружества компетентным органом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Резюмируя изложенное, Суд констатирует, что Общее положение о межгосударственных (межправительственных) органах Содружества Независимых Государств и Примерное соглашение межгосударственного (межправительственного) органа Содружества Независимых Государств с государством местонахождения об условиях его пребывания считаются вступившими в силу в отношении тех органов, правовой статус которых как межгосударственных (межправительственных) органов Содружества определен (или уточнен).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Данный вывод предопределяет и ответ на второй вопрос запроса - об обязательности распространения (применения) на Межпарламентскую Ассамблею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и Общего положения о межгосударственных (межправительственных) органах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Межпарламентская Ассамблея была учреждена Соглашением о Межпарламентской Ассамблее государств-участников Содружества Независимых Государств, заключенным 27 марта 1992 года верховными советами (парламентами) государств-участников Содружества Независимых Государств, как консультативный институт для обсуждения вопросов и рассмотрения проектов документов, представляющих общий интерес.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Межпарламентская Ассамблея была включена в Устав Содружества Независимых Государств в качестве формы межпарламентского сотрудничества. Поэтому нормы Устава СНГ, определяющие основы деятельности Межпарламентской Ассамблеи, выделены в самостоятельный раздел VII "Межпарламентское сотрудничество" (статьи 36, 37).
</w:t>
      </w:r>
    </w:p>
    <w:p>
      <w:pPr>
        <w:spacing w:after="0"/>
        <w:ind w:left="0"/>
        <w:jc w:val="both"/>
      </w:pPr>
      <w:r>
        <w:rPr>
          <w:rFonts w:ascii="Times New Roman"/>
          <w:b w:val="false"/>
          <w:i w:val="false"/>
          <w:color w:val="000000"/>
          <w:sz w:val="28"/>
        </w:rPr>
        <w:t>
</w:t>
      </w:r>
      <w:r>
        <w:rPr>
          <w:rFonts w:ascii="Times New Roman"/>
          <w:b w:val="false"/>
          <w:i w:val="false"/>
          <w:color w:val="000000"/>
          <w:sz w:val="28"/>
        </w:rPr>
        <w:t>
      Включение в Устав норм, регламентирующих деятельность Межпарламентской Ассамблеи, подчинение ее деятельности целям и принципам Содружества, закрепленным в статье 4 Устава СНГ, означает вхождение ее, равно как и органов Содружества, предусмотренных в разделе VI, во внутреннюю структуру Содружества. Вместе с тем Устав, как отмечалось выше, не определил надлежащим образом правовое положение Межпарламентской Ассамблеи.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Конвенции </w:t>
      </w:r>
      <w:r>
        <w:rPr>
          <w:rFonts w:ascii="Times New Roman"/>
          <w:b w:val="false"/>
          <w:i w:val="false"/>
          <w:color w:val="000000"/>
          <w:sz w:val="28"/>
        </w:rPr>
        <w:t>
 о Межпарламентской Ассамблее государств-участников Содружества Независимых Государств, подписанной 26 мая 1995 года и вступившей в силу 16 января 1996 года, все государства, парламенты которых участвовали в 
</w:t>
      </w:r>
      <w:r>
        <w:rPr>
          <w:rFonts w:ascii="Times New Roman"/>
          <w:b w:val="false"/>
          <w:i w:val="false"/>
          <w:color w:val="000000"/>
          <w:sz w:val="28"/>
        </w:rPr>
        <w:t xml:space="preserve"> Соглашении </w:t>
      </w:r>
      <w:r>
        <w:rPr>
          <w:rFonts w:ascii="Times New Roman"/>
          <w:b w:val="false"/>
          <w:i w:val="false"/>
          <w:color w:val="000000"/>
          <w:sz w:val="28"/>
        </w:rPr>
        <w:t>
 о Межпарламентской Ассамблее государств-участников Содружества Независимых Государств от 27 марта 1992 года (за исключением Республики Узбекистан), признали необходимым в целях совершенствования механизма межпарламентского сотрудничества придать Межпарламентской Ассамблее государств-участников Содружества Независимых Государств надлежащий правовой статус. Статья 1 названной Конвенции определила, что Межпарламентская Ассамблея является межгосударственным органом Содружества Независимых Государств. Одновременно Конвенция уточнила функциональные и организационные полномочия Межпарламентской Ассамблеи, вытекающие из общих целей и задач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Суд полагает, что определение (уточнение) таким образом в рамках уставных положений статуса Межпарламентской Ассамблеи как межгосударственного органа Содружества Независимых Государств дает правовое основание, в соответствии с вышеизложенными доводами, для распространения на Межпарламентскую Ассамблею государств-участников Содружества Независимых Государств действия норм Общего положения о межгосударственных (межправительственных) органах Содружества Независимых Государств, и в частности пункта 6, устанавливающего, что взаимоотношения межгосударственных (межправительственных) органов с государством пребывания определяются по соглашению сторон на основе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термин "обязательность", содержащийся во втором вопросе запроса, имеет значение лишь применительно к государствам-участникам толкуемого Решения. Подписание ими Решения от 21 октября 1994 года влечет обязательность для каждого из этих государств норм Общего положения о межгосударственных (межправительственных) органах Содружества Независимых Государств, утвержденного указанным Решением, в отношениях, связанных с пребыванием на их территории межгосударственного (межправительственного) органа, и в иных сферах, регулируемых названным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Примерность в названии указанного в пункте 6 Соглашения отражает в соответствии с нормами международного права свободу волеизъявления сторон договора и означает, что при заключении конкретного договора межгосударственного (межправительственного) органа с государством местопребывания его условия могут быть дополнены или уточнены (изменены) по сравнению с содержащимися в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учитывая наличие специального акта - Конвенции, Суд считает необходимым указать на ограниченную возможность применения Общего положения о межгосударственных (межправительственных) органах Содружества Независимых Государств для урегулирования правового положения служащих Секретариата Межпарламентской Ассамблеи государств-участников Содружества Независимых Государств, на проблематичность которого ссылается в запросе МПА.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Статья 20 </w:t>
      </w:r>
      <w:r>
        <w:rPr>
          <w:rFonts w:ascii="Times New Roman"/>
          <w:b w:val="false"/>
          <w:i w:val="false"/>
          <w:color w:val="000000"/>
          <w:sz w:val="28"/>
        </w:rPr>
        <w:t>
 Конвенции о Межпарламентской Ассамблее государств-участников Содружества Независимых Государств устанавливает правило приоритета для случаев использования других актов Содружества: "Если положениями настоящей Конвенции предусматривается иное, чем положениями иных актов, регулирующих деятельность и статус Межпарламентской Ассамблеи, применяются положения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Применительно к обстоятельствам, послужившим мотивом запроса, соблюдение данного правила означает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Статьи 15 </w:t>
      </w:r>
      <w:r>
        <w:rPr>
          <w:rFonts w:ascii="Times New Roman"/>
          <w:b w:val="false"/>
          <w:i w:val="false"/>
          <w:color w:val="000000"/>
          <w:sz w:val="28"/>
        </w:rPr>
        <w:t>
 и 
</w:t>
      </w:r>
      <w:r>
        <w:rPr>
          <w:rFonts w:ascii="Times New Roman"/>
          <w:b w:val="false"/>
          <w:i w:val="false"/>
          <w:color w:val="000000"/>
          <w:sz w:val="28"/>
        </w:rPr>
        <w:t xml:space="preserve"> 16 Конвенции </w:t>
      </w:r>
      <w:r>
        <w:rPr>
          <w:rFonts w:ascii="Times New Roman"/>
          <w:b w:val="false"/>
          <w:i w:val="false"/>
          <w:color w:val="000000"/>
          <w:sz w:val="28"/>
        </w:rPr>
        <w:t>
 регламентируют правовой статус лишь тех категорий служащих Секретариата Межпарламентской Ассамблеи, которые включены в перечень должностных лиц Межпарламентской Ассамблеи и не являются гражданами государства, на территории которого располагаются штаб-квартира МПА или ее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этим правомерно (юридически и практически оправдано) применение норм, регулирующих правовое положение аппарата межгосударственных (межправительственных) органов в Общем положении о межгосударственных (межправительственных) органах Содружества Независимых Государств, к служащим Секретариата МПА, не подпадающим под действие статей 15, 16 Конвенции о Межпарламентской Ассамблее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 пунктами 5 </w:t>
      </w:r>
      <w:r>
        <w:rPr>
          <w:rFonts w:ascii="Times New Roman"/>
          <w:b w:val="false"/>
          <w:i w:val="false"/>
          <w:color w:val="000000"/>
          <w:sz w:val="28"/>
        </w:rPr>
        <w:t>
, 
</w:t>
      </w:r>
      <w:r>
        <w:rPr>
          <w:rFonts w:ascii="Times New Roman"/>
          <w:b w:val="false"/>
          <w:i w:val="false"/>
          <w:color w:val="000000"/>
          <w:sz w:val="28"/>
        </w:rPr>
        <w:t xml:space="preserve"> 16 Положения </w:t>
      </w:r>
      <w:r>
        <w:rPr>
          <w:rFonts w:ascii="Times New Roman"/>
          <w:b w:val="false"/>
          <w:i w:val="false"/>
          <w:color w:val="000000"/>
          <w:sz w:val="28"/>
        </w:rPr>
        <w:t>
 об Экономическом Суде Содружества Независимых Государств и пунктами 13.4, 13.5, 13.7, а также пунктом 8.55 Регламента Экономического Суда Содружества Независимых Государств, Экономический Суд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Дать следующее толкование по запросу Генерального секретаря Совета Межпарламентской Ассамблеи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Вступление в силу документов, утвержденных Решением Совета глав правительств Содружества Независимых Государств от 21 октября 1994 года, - Общего положения о межгосударственных (межправительственных) органах Содружества Независимых Государств и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обусловлено наступлением двух фактов: принятием решения об учреждении Межгосударственного экономического Комитета Экономического союза и уточнением структуры органов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Датой принятия решения об учреждении Межгосударственного экономического Комитета Экономического союза следует считать день принятия учредительных документов данного органа - Соглашения о создании Межгосударственного экономического Комитета Экономического союза от 21 октября 1994 года с двумя приложениями: 1) Положением о Межгосударственном экономическом Комитете Экономического союза и 2) Порядком распределения голосов на период до 1 января 1998 года для принятия решений Президиумом и Коллегией МЭК квалифицированным большинством с учетом экономического потенциала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Факт уточнения структуры органов Содружества Независимых Государств устанавливается применительно к каждому конкретному органу при определении его правового статуса в структуре (системе органов) Содружества компетентным органом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Общее положение о межгосударственных (межправительственных) органах Содружества Независимых Государств и Примерное соглашение межгосударственного (межправительственного) органа Содружества Независимых Государств с государством местонахождения об условиях его пребывания считаются вступившими в силу в отношении тех органов, правовой статус которых как межгосударственных (межправительственных) органов Содружества уточнен (или определен).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 правового статуса Межпарламентской Ассамблеи государств-участников Содружества Независимых Государств как межгосударственного органа Содружества Независимых Государств в статье 1 Конвенции о Межпарламентской Ассамблее государств-участников Содружества Независимых Государств, подписанной главами государств-участников Содружества 26 мая 1995 года, является основанием для распространения на нее действия норм Общего положения о межгосударственных (межправительственных) органах Содружества Независимых Государств и Примерного соглашения межгосударственного (межправительственного) органа Содружества Независимых Государств с государством местонахождения об условиях его пребывания. При этом положения документов, утвержденных Решением Совета глав правительств Содружества от 21 октября 1994 года, могут применяться для регламентации тех вопросов, которые не урегулированы Конвенцией о Межпарламентской Ассамблее государств-участников Содружества Независимых Государств от 26 мая 1995 года, с момента вступления в силу данной Конвенции (с 16 января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Копию решения направить в Межпарламентскую Ассамблею государств-участников Содружества Независимых Государств, а также для сведения в Межгосударственный экономический Комитет Экономического союза, Исполнительный Секретариат Содружества Независимых Государств, органам и государствам-участникам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может быть обжаловано в трехмесячный срок со дня получения его копии в Пленум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Председателя                   Д.Д. Апостол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