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f83" w14:textId="077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между Министерством по инвестициям и развитию Республики Казахстан и Министерством транспорта Китайской Народной Республики о создании системы разрешений на международные автомобильные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12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12 октября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по инвестициям и развитию Республики Казахстан, в дальнейшем именуемое "Казахстанская Сторона" и Министерство транспорта Китайской Народной Республики, в дальнейшем именуемое "Китайская Сторона",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интенсивного развития двусторонних торгово-экономических связей между обоими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развивая сотрудничество в области автомобильных перевозок на равноправной и взаимовыгодной основе,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международном автомобильном сообщении от 26 сентября 1992 года (далее - Соглашение) в отношении создания системы разрешений на международные автомобильные перевозки,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Бланк разрешения на поездку автотранспортного средства между Республикой Казахстан и Китайской Народной Республикой, ниже именуемый "разрешение", согласовывается Министерством по инвестициям и развитию Республики Казахстан и Министерством транспорта Китайской Народной Республики. Разрешения являются официальными документами для осуществления автомобильных перевозок по соответствующим маршрутам автомобильных дорог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изготавливают разрешения по согласованной форме. Бланки разрешений исполняются на казахском, китайском и русском языках: тексты разрешений Казахстанской Стороной исполняются последовательно на казахском, китайском и русском языках; Китайской Стороной - на китайском,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должны иметь серию и порядковый номер, составленные на год, а также соответствующие подпись и печать компетентного органа. Разрешения выдает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Казахстанской Стороны компетентным органом является Министерство по инвестициям и развитию Республики Казахстан, исполнительным органом - Комитет транспорта Министерства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Китайской Стороны компетентным органом является Департамент транспорта СУАР КНР, уполномоченный Министерством транспорта Китайской Народной Республики, исполнительным органом - Управление автомобильного транспорта СУАР КНР.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названия или функций вышеназванных компетентных или исполнительных органов Стороны будут своевременно уведомлены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Автотранспортное средство (с прицепом, полуприцепом или без них), пересекающее границу, должно иметь одно разрешение.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устанавливаются четырех видов "А", "В", "С" и "D".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вида "А" (оранжевого цвета) применяются при выполнении регулярных автомобильных перевозок пассажиров (включая туристов) и багажа. Срок его действия - один год, многоразовый.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Исполнительные органы Сторон согласовывают расписание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схему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движения автобуса по регулярному международному маршруту.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вида "В" (голубого цвета) применяются при выполнении нерегулярных автомобильных перевозок пассажиров (включая туристов) и багажа между приграничными терминалами в районе пунктов пропуска с правом совершения одного рейса туда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вида "С" (желтого цвета) применяются при перевозке грузов автомобильным транспортом между приграничными терминалами в районе пунктов пропуска, с правом выполнения одного рейса туда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вида "D" (зеленого цвета) применяются при выполнении автомобильных перевозок грузов по определенным маршрутам, с правом выполнения одного рейса туда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разрешения, предусмотренные Соглашением для перевозок транзитом, в(из) третьих стран, крупногабаритных и тяжеловесных, а также опасных грузов дополнительно согласовываются двумя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указанных разрешений въезд автотранспортных средств на территорию другой страны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действительны при наличии штампа компетентного органа, а также штампа и подписи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обмениваются разрешениями "А", "В", "С" и "D" два раза в год. Время и место обмена согласовываются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передаваемых бланков разрешений взаимно согласовывается компетентными органами на паритетной и взаимовыгодной основе.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на пограничных пунктах осуществляют контроль за наличием разрешений на выезжающих и въезжающих автотранспортных средствах.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тщательно составляют записи по каждому нарушению настоящего Протокола. Если вопрос относится к автотранспортному средству своей Стороны, то сведения своевременно доводятся до предприятия, выполняющего эту перевозку для принятия мер. Если вопрос относится к автотранспортному средству другой Стороны, то она информирует об этом во время следующего обмена бланками разрешений для принятия решения, удовлетворяющего обе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обмена бланками разрешений Стороны должны одновременно информировать друг друга о состоянии перевозок за предыдущее полугодие, использовании бланков разрешений и иным вопросам.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перевозки неделимых крупногабаритных и (или) тяжеловесных, а также опасных грузов, перевозчик одной Стороны должен получить специальное разрешение в соответствии с законодательством другой Стороны, только после которого перевозчик может осуществлять перевозку вышеперечисленных грузов по территории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со дня его подписания и будет действовать в период действия Соглашения, если одна из Сторон не уведомит в письменной форме другую Сторону не позднее, чем за 6 месяцев о своем желании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Ухань 12 октября 2016 года в двух экземплярах на казахском, русском и китайском языках.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9"/>
        <w:gridCol w:w="5901"/>
      </w:tblGrid>
      <w:tr>
        <w:trPr>
          <w:trHeight w:val="30" w:hRule="atLeast"/>
        </w:trPr>
        <w:tc>
          <w:tcPr>
            <w:tcW w:w="6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6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Стороны,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и печать)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(день)       (месяц)       (год)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</w:t>
      </w:r>
      <w:r>
        <w:br/>
      </w:r>
      <w:r>
        <w:rPr>
          <w:rFonts w:ascii="Times New Roman"/>
          <w:b/>
          <w:i w:val="false"/>
          <w:color w:val="000000"/>
        </w:rPr>
        <w:t>движения автобуса по регулярному международному маршруту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маршрута)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"/>
        <w:gridCol w:w="5842"/>
        <w:gridCol w:w="5842"/>
      </w:tblGrid>
      <w:tr>
        <w:trPr>
          <w:trHeight w:val="30" w:hRule="atLeast"/>
        </w:trPr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Маршрут обслуживается
</w:t>
            </w:r>
          </w:p>
        </w:tc>
        <w:tc>
          <w:tcPr>
            <w:tcW w:w="5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Республики Казахстан</w:t>
            </w:r>
          </w:p>
        </w:tc>
        <w:tc>
          <w:tcPr>
            <w:tcW w:w="5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перевозчика)</w:t>
            </w:r>
          </w:p>
        </w:tc>
      </w:tr>
      <w:tr>
        <w:trPr>
          <w:trHeight w:val="30" w:hRule="atLeast"/>
        </w:trPr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Китайской Народной Республики</w:t>
            </w:r>
          </w:p>
        </w:tc>
        <w:tc>
          <w:tcPr>
            <w:tcW w:w="5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перевозчика)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543"/>
        <w:gridCol w:w="1868"/>
        <w:gridCol w:w="1868"/>
        <w:gridCol w:w="1869"/>
        <w:gridCol w:w="1711"/>
        <w:gridCol w:w="1711"/>
        <w:gridCol w:w="1714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Остановочные пункты и пункты перехода через государственную границу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остановочными пунктами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рейса)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рейса)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стоянки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стоянки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       (круглогодично, сезонный от (день, месяц, год) - до (день, месяц, год))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Дни выхода автобусов по данному маршруту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0"/>
        <w:gridCol w:w="130"/>
        <w:gridCol w:w="130"/>
        <w:gridCol w:w="130"/>
        <w:gridCol w:w="130"/>
        <w:gridCol w:w="130"/>
        <w:gridCol w:w="130"/>
        <w:gridCol w:w="130"/>
      </w:tblGrid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из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(начальный пункт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со стороны РК)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перевозчик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перевозчик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из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(начальный пункт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со стороны КНР)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перевозчик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перевозчик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8"/>
        <w:gridCol w:w="6412"/>
      </w:tblGrid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Ф.И.О.,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и печать)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_______20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(день) (месяц)    (год)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китайского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подпись должностного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_______20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(день) (месяц)     (год)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Стороны,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и печать)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(день)       (месяц)       (год)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движения автобусов по ругулярному международному маршруту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маршрута)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