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681" w14:textId="e02a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финансов Республики Казахстан и Государственным таможенным комитетом Республики Узбекистан о сотрудничестве в борьбе с контрабандой и нарушениями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16 сентября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16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2)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Государственный таможенный комитет Республики Узбекистан именуемые в дальнейшем Сторонами,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таможенных делах от 31 октября 1998 года, Соглашения таможенных служб государств-участников Содружества Независимых Государств о взаимодействии и сотрудничестве таможенных служб в борьбе с незаконным оборотом наркотических средств и психотропных веществ от 8 июля 1994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от 20 декабря 1988 года,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сотрудничества и административного взаимодействия Сторон в борьбе с контрабандой и нарушениями таможенного законодательства,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контрабанда, а также правонарушения в сфере таможенного дела наносят ущерб экономическим, торговым, финансовым, социальным, культурным интересам и представляют угрозу национальной безопасности государств Сторон,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обеспокоенность масштабами и тенденцией роста незаконного оборота наркотических средств, психотропных веществ и их прекурсоров и, осознавая, что они представляют угрозу общественной безопасности, жизни и здоровью населения государств Сторон,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и законодательством государств Сторон,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используются следующие термины: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таможенное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” - совокупность нормативных правовых актов государств Сторон, регулирующих порядок ввоза, вывоза транзита товаров, ручной клади и багажа пассажиров, валютных и других ценностей, международных почтовых и курьерских отправлений, взимания таможенных пошлин, сборов и других платежей, предоставления льгот по таможенным платежам, а также контроля за перемещением товаров через таможенные границы государств Сторон;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нарушение 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” - виновное противоправное несоблюдение таможенных правил, установленных законодательством государств Сторон;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контрабанда</w:t>
      </w:r>
      <w:r>
        <w:rPr>
          <w:rFonts w:ascii="Times New Roman"/>
          <w:b w:val="false"/>
          <w:i w:val="false"/>
          <w:color w:val="000000"/>
          <w:sz w:val="28"/>
        </w:rPr>
        <w:t>” - перемещение через таможенные границы государств Сторон помимо или с сокрытием от таможенного контроля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товаров, предметов, веществ, материалов, запрещенных или ограниченных к перемещению через таможенную границу, в отношений которых установлены специальные правила перемещения через таможенную границу государств Сторон;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наркотические средства</w:t>
      </w:r>
      <w:r>
        <w:rPr>
          <w:rFonts w:ascii="Times New Roman"/>
          <w:b w:val="false"/>
          <w:i w:val="false"/>
          <w:color w:val="000000"/>
          <w:sz w:val="28"/>
        </w:rPr>
        <w:t>” - вещества, включенные ООН в списки Единой Конвенции о наркотических средствах 1961 года с последующими изменениями и дополнениями;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психотропные вещества</w:t>
      </w:r>
      <w:r>
        <w:rPr>
          <w:rFonts w:ascii="Times New Roman"/>
          <w:b w:val="false"/>
          <w:i w:val="false"/>
          <w:color w:val="000000"/>
          <w:sz w:val="28"/>
        </w:rPr>
        <w:t>” - вещества, включенные ООН в списки Конвенции о психотропных веществах 1971 года с последующими изменениями и дополнениями;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прекурсоры</w:t>
      </w:r>
      <w:r>
        <w:rPr>
          <w:rFonts w:ascii="Times New Roman"/>
          <w:b w:val="false"/>
          <w:i w:val="false"/>
          <w:color w:val="000000"/>
          <w:sz w:val="28"/>
        </w:rPr>
        <w:t>” - вещества и их соли, классифицируемые в международных конвенциях как химические материалы, которые используются для производства наркотических средств и психотропных веществ;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лицо</w:t>
      </w:r>
      <w:r>
        <w:rPr>
          <w:rFonts w:ascii="Times New Roman"/>
          <w:b w:val="false"/>
          <w:i w:val="false"/>
          <w:color w:val="000000"/>
          <w:sz w:val="28"/>
        </w:rPr>
        <w:t>” - физическое или юридическое лицо;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сведения о лицах</w:t>
      </w:r>
      <w:r>
        <w:rPr>
          <w:rFonts w:ascii="Times New Roman"/>
          <w:b w:val="false"/>
          <w:i w:val="false"/>
          <w:color w:val="000000"/>
          <w:sz w:val="28"/>
        </w:rPr>
        <w:t>” - любые данные относительно определенного или определяемого лица;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>” - уполномоченный орган Стороны, который запрашивает содействие;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запрашиваемая Сторона</w:t>
      </w:r>
      <w:r>
        <w:rPr>
          <w:rFonts w:ascii="Times New Roman"/>
          <w:b w:val="false"/>
          <w:i w:val="false"/>
          <w:color w:val="000000"/>
          <w:sz w:val="28"/>
        </w:rPr>
        <w:t>” - уполномоченный орган Стороны, у которого запрашивается содействие;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/>
          <w:i w:val="false"/>
          <w:color w:val="000000"/>
          <w:sz w:val="28"/>
        </w:rPr>
        <w:t>персональные данные</w:t>
      </w:r>
      <w:r>
        <w:rPr>
          <w:rFonts w:ascii="Times New Roman"/>
          <w:b w:val="false"/>
          <w:i w:val="false"/>
          <w:color w:val="000000"/>
          <w:sz w:val="28"/>
        </w:rPr>
        <w:t>” - сведения относительно определенного или определяемого физического лица, позволяющие идентифицировать его личность.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законодательством своих государств, а также в целях предупреждения, выявления, пресечения и расследования контрабанды и нарушений таможенного законодательства будут сотрудничать в первую очередь в сфере незаконного оборота оружия, боеприпасов, взрывчатых веществ, наркотических средств, психотропных веществ и их прекурсоров.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вопросов оказания правовой помощи по уголовным делам.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положений настоящего Соглашения являются: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Министерства финансов Республики Казахстан - Комитет государственных доходов Министерства финансов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Государственного таможенного комитета Республики Узбекистан - Главное управление по борьбе с контрабандой.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 (или) функций вышеназванных уполномоченных подразделений, Стороны будут своевременно уведомлены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и административную взаимопомощь в борьбе с контрабандой и нарушениями таможенного законодательства в рамках настоящего Соглашения путем: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по проверке и предоставлению информации в отношении лиц, известных как совершивших или подозреваемых в совершении нарушений таможенного законодательства или вовлеченных в незаконный оборот оружия, боеприпасов, взрывчатых веществ, наркотических средств, психотропных веществ и их прекурсоров;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по проверке и предоставлению информации в отношении товаров, транспортных средств, почтовых и курьерских отправлений, известных как использованные или подозреваемых в использовании с целью нарушения таможенного законодательства или задействованные в незаконном обороте оружия, боеприпасов, взрывчатых веществ, наркотических средств, психотропных веществ и их прекурсоров;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о фактах обнаружения товаров контрабанды и незаконного перемещения оружия, боеприпасов, взрывчатых веществ, наркотических средств, психотропных веществ и их прекурсоров;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действующем таможенном законодательстве;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методах и способах борьбы с контрабандой и нарушениями таможенного законодательства;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новых видах и местах производства наркотических средств, психотропных веществ и их прекурсоров, маршрутах незаконного перемещения и способах сокрытия;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маршрутах незаконного перемещения и способах сокрытия оружия, боеприпасов, взрывчатых веществ;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опытом использования технических средств таможенного контроля и кинологической службы;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научными публикациями и учебными пособиями по вопросам борьбы с контрабандой, незаконным оборотом оружия и наркотических средств;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в области идентификации и лабораторного анализа наркотических средств, психотропных веществ и прекурсоров;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специалистами с целью обучения и обмена опытом в сфере борьбы с незаконным оборотом оружия, боеприпасов, взрывчатых веществ, наркотических средств, психотропных веществ и их прекурсоров.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сотрудничества в рамках настоящего Соглашения, не может быть использована в ущерб интересам любой из Сторон.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передавать третьей стороне, в том числе международным организациям и иностранным юридическим и (или) физическим лицам, информацию о сотрудничестве, полученную или приобретенную в рамках настоящего Соглашения, без предварительного письменного согласия другой Стороны. 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направленные на основании настоящего Соглашения, должны быть изложены в письменной форме. К запросу должны быть приложены документы, необходимые для его исполнения. В неотложных случаях запросы могут быть направлены первоначально в электронной форме по защищенным каналам связи, с последующим подтверждением в письменной форме.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в соответствии с настоящим Соглашением, должны содержать следующую информацию: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Стороны и запрашивающей Стороны;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меры;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предмет, причина и основания направления запроса;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законы, правила и иные правовые факты, имеющие отношение к делу;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точные и полные сведения о лицах, в отношении которых проводится расследование;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изложение относящихся к делу обстоятельств;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настоящее Соглашение;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запрашиваемых документов и сведений.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срок не более одного месяца со дня его получения. При необходимости сокращения срока предоставления запрашиваемой информации в тексте запроса делается оговорка с указанием причин.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срок исполнения запроса может быть сокращен до двух недель.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запрашиваемая Сторона не располагает запрашиваемой информацией, в том числе и в случае необходимости получения информации от иных государственных органов, она принимает меры к получению этой информации, действуя от собственного имени, в соответствии с законодательством своего государства. В этом случае, срок исполнения запроса может быть продлен до двух месяцев.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об осуществлении определенных действий выполняется в соответствии и с учетом положений законодательства государства запрашиваемой Стороны.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направления запрашиваемой информации или возможности выполнения ее частично, запрашиваемая Сторона незамедлительно информирует об этом запрашивающую Сторону.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соответствии с настоящим Соглашением осуществляется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сведениями о лицах на основании настоящего Соглашения Стороны обеспечивают защиту персональных данных в соответствии с законодательством 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заинтересована в участии должностного лица другой Стороны в качестве свидетеля или эксперта при проведении судебных и административных разбирательств, то она имеет право обратиться к другой Стороне с соответствующим запросом. Запрашиваемая Сторона вправе отказать в исполнении запроса с указанием причин отказа.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одной из Сторон на период пребывания на территории государства другой Стороны должны иметь документальное подтверждение своих официальных полномочий.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реализацией положений настоящего Соглашения.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возникающие при толковании или применении настоящего Соглашения, решаются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действует до истечения шести месяцев со дня получения одной Стороной письменного уведомления другой Стороны о еҰ намерении прекратить действие настоящего Соглашения.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прекращают свое действие следующие международные договоры: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Таможенным комитетом Министерства финансов Республики Казахстан и Государственным таможенным комитетом Республики Узбекистан о сотрудничестве в проведении совместных мероприятий, направленных на пресечение контрабанды, нарушений таможенных правил и незаконного оборота наркотических средств, совершенное в городе Ташкенте 23 марта 1998 года;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Министерством финансов Республики Казахстан и Государственным налоговым комитетом Республики Узбекистан о сотрудничестве в борьбе с незаконным оборотом оружия, боеприпасов, взрывчатых веществ, наркотических и психотропных средств, совершенное в городе Алматы 9 февраля 1994 года;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Министерством финансов Республики Казахстан и Государственным налоговым комитетом Республики Узбекистан о сотрудничестве в борьбе с контрабандой и нарушениями таможенных правил, совершенное в городе Алматы 9 февраля 1994 года.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16 сентября 2017 года в двух экземплярах на казахском, узбекском и русском языках. Причем все тексты являются равно аутентичными. В случае расхождения между текстами, Стороны обращаются к тексту на русском языке.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64"/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Государственный таможенный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