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dd4c" w14:textId="500d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между Министерством финансов Республики Казахстан и Главным таможенным управлением Китайской Народной Республики о методологическом и информационном взаимодействии в области таможенной статистики внешней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Протокол, 26 апреля 2019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 в силу 26 апреля 2019 года - Бюллетень международных договоров РК 2019 г., № 3, ст. 34)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Республики Казахстан и Главное таможенное управление Китайской Народной Республики, в дальнейшем именуемые Сторонами,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Соглашением между Правительством Республики Казахстан и Правительством Китайской Народной Республики о сотрудничестве и взаимопомощи в таможенных делах от 26 сентября 1997 года,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точных и сопоставимых данных по внешней торговле для ведения торговых переговоров, а также, что обмен данными содействует здоровому развитию взаимной торговли,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укреплению сотрудничества в области информации о взаимной торговле двух стран,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организационный и административный потенциал, основанный на взаимопонимании и уважении, 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 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на постоянной основе взаимные консультации и обмениваются методологическими разработками в области формирования таможенной статистики внешней торговли и анализа статистической информации.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один раз в три месяца обмениваются данными по взаимной торговле на уровне 6 знаков гармонизированной системы (HS) в соответствии со структурой передаваемых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Протоколу, а также обмениваются окончательными годовыми данными.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тщательного анализа причин расхождении данных статистики взаимной торговли Республики Казахстан и Ки тайской Народной Республики, Стороны по письменному обращению передают информацию в отношении товаров, по которым выявлено наибольшее расхождение, в соответствии со Структурой передаваемых данных по отдельным товарным группам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Сопоставление данных взаимной торговли осуществляется в соответствии с Методикой проведения сопоставительного анализа данных таможенной статистики взаимной торговли товарами Республики Казахстан и Китайской Народной Республики от 16 сентября 2010 года.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регулярно проводят встречи по вопросам сопоставления данных о взаимной торговле, по итогам которых информируют друг друга о их результатах с изложением возможных причин имеющихся расхождений. Встречи проводятся поочередно на территории государства одной из Сторон.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осуществлении сотрудничества по настоящему Протоколу используют казахский, китайский, русский или английский язык. 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данными осуществляется в форме письма, электронного письма или на компакт-диске (CD). Контактные данные Сторон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Протоколу.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 Стороны принимают необходимые меры для обеспечения безопасности информации, которой обмениваются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письменного согласия одной из Сторон статистические данные, предоставляемые в соответствии с настоящим Протоколом, не могут публиковаться или распространяться третьим лицам, а также не должны быть использованы в качестве доказательств в судебных или административных разбирательствах другой Стороной.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Протокол по взаимному согласию Сторон могут вноситься изменения, которые являются его неотъемлемой частью и оформляются соответствующими протоколами. 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разрешают споры, возникающие при толковании и применении настоящего Протокола, путем проведения переговоров и консультаций.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подписания.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заключается сроком на 5 (пять) лет, по истечении которого его действие автоматически продлевается на последующие пятилетние периоды, если ни одна из Сторон не менее чем за шесть месяцев до истечения очередного периода не уведомит в письменной форме по дипломатическим каналам другую Сторону о своем намерении прекратить его действие. 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Пекине 26 апреля 2019 года в двух экземплярах, каждый на казахском, китайском и русском языках, причем все тексты имеют одинаковую юридическую силу. 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расхождения между текстами настоящего Протокола преимущественную силу имеет текст на русском языке.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вступлением в силу настоящего Протокола прекращает действие Протокол между Министерством финансов Республики Казахстан и Главным таможенным управлением Китайской Народной Республики о методологическом и информационном взаимодействии в области таможенной статистики внешней торговли от 8 декабря 2012 года. 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9"/>
        <w:gridCol w:w="6901"/>
      </w:tblGrid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Главное таможенное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Китайской Народной Республики  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(Подписи)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</w:p>
        </w:tc>
      </w:tr>
    </w:tbl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</w:t>
      </w:r>
      <w:r>
        <w:br/>
      </w:r>
      <w:r>
        <w:rPr>
          <w:rFonts w:ascii="Times New Roman"/>
          <w:b/>
          <w:i w:val="false"/>
          <w:color w:val="000000"/>
        </w:rPr>
        <w:t xml:space="preserve">данных для двустороннего обмена на постоянной основе   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2554"/>
        <w:gridCol w:w="8019"/>
      </w:tblGrid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данных для обмена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Характерные данные (учет по количеству)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символа (в зависимости от количества знаков страны), импорт - это страна происхождения, а экспорт - страна назначения  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получателя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символа (в зависимости от количества знаков страны) только на экспорт, для страны получателя  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символа (в зависимости от количества знаков страны) только для импорта, для страны отправления  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год/месяц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символа (в соответствии с характеристикой данных) 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символа (в зависимости от количества знаков страны) 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оформления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символа (в зависимости от количества знаков страны) 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на границе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символа (в зависимости от количества знаков страны) 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товара 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символа (6 знаков) 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нетто 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символа (килограмм) 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дополнительной единицы измерения (основная) 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символа (в зависимости от количества знаков страны) 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дополнительной единице измерения 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дополнительной единицы измерения   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символа (в зависимости от количества знаков страны)   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стоимость в долларах     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Целостный тип   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 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передаваемых детальных данных по товарным группам  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3832"/>
        <w:gridCol w:w="6968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данных для обмена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данные (учет по количеству)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происхождения 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символа (в зависимости от количества знаков страны), импорт - это страна происхождения, а экспорт - страна назначения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получателя 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символа (в зависимости от количества знаков страны) только на экспорт, для страны получателя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отправления 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символа (в зависимости от количества знаков страны) только для импорта, для страны отправления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Календарный год/месяц 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символа (в соответствии с характеристикой данных)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транспорта 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символа (в зависимости от количества знаков страны)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орган оформления 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символа (в зависимости от количества знаков страны)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пост на границе 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символа (в зависимости от количества знаков страны)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товара 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символа (6 знаков)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нетто 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первой единицы измерения КНР (основная единица измерения в РК) 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символа (в зависимости от количества знаков страны)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первой единице измерения КНР (по основной единице измерения РК)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второй единицы измерения КНР (дополнительная единица измерения РК)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символа (в зависимости от количества знаков страны)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второй единице измерения КНР (по дополнительной единице измерения РК)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символа (доллар США)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символа (идентификация номера транспортного средства)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транспортного средства из дополнительных источников (для китайской Стороны) 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символа (идентификация кода транспортного средства)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выпуска товара 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символа (год, месяц, день)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экспортной/импортной декларации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символа (в зависимости от количества знаков страны)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отправителя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символа (в зависимости от количества знаков страны), только при экспорте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получателя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символа (в зависимости от количества знаков страны), только при импорте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контракта (при наличии) 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транспортной накладной (при наличии) 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1"/>
        <w:gridCol w:w="6889"/>
      </w:tblGrid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РК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таможенное управление КНР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государственных доходов МФ РК Тел.: 8-7172-70-14-62, 8-7172-70-20-91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Факс: 8-7172-70-20-96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b.zhunusova@kgd.gov.kz. dmeirbekov@mgd.kz  </w:t>
            </w:r>
          </w:p>
          <w:bookmarkEnd w:id="36"/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статистического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Тел.: 86-10-65195640 Факс: 86-10-65195610 E-mail: Statistics@customs.gov.cn   </w:t>
            </w:r>
          </w:p>
          <w:bookmarkEnd w:id="3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