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5a3a" w14:textId="6a35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февраля 2000 года N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2000 года N 1117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2000 года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на 2000 год"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год, утвержденном указанным постановлением, строку, порядковый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