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8ed6" w14:textId="8ec8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письма Международного Банка Реконструкции и Развития о внесении изменений и дополнений в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(сельхозобслуживание)"</w:t>
      </w:r>
    </w:p>
    <w:p>
      <w:pPr>
        <w:spacing w:after="0"/>
        <w:ind w:left="0"/>
        <w:jc w:val="both"/>
      </w:pPr>
      <w:r>
        <w:rPr>
          <w:rFonts w:ascii="Times New Roman"/>
          <w:b w:val="false"/>
          <w:i w:val="false"/>
          <w:color w:val="000000"/>
          <w:sz w:val="28"/>
        </w:rPr>
        <w:t>Постановление Правительства Республики Казахстан от 24 июля 2002 года N 822</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Одобрить письмо Международного Банка Реконструкции и Развития о внесении изменений и дополнений в </w:t>
      </w:r>
      <w:r>
        <w:rPr>
          <w:rFonts w:ascii="Times New Roman"/>
          <w:b w:val="false"/>
          <w:i w:val="false"/>
          <w:color w:val="000000"/>
          <w:sz w:val="28"/>
        </w:rPr>
        <w:t xml:space="preserve">P011157_ </w:t>
      </w:r>
      <w:r>
        <w:rPr>
          <w:rFonts w:ascii="Times New Roman"/>
          <w:b w:val="false"/>
          <w:i w:val="false"/>
          <w:color w:val="000000"/>
          <w:sz w:val="28"/>
        </w:rPr>
        <w:t xml:space="preserve">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(сельхозобслуживание)" от 18 мая 2001 года. </w:t>
      </w:r>
      <w:r>
        <w:br/>
      </w:r>
      <w:r>
        <w:rPr>
          <w:rFonts w:ascii="Times New Roman"/>
          <w:b w:val="false"/>
          <w:i w:val="false"/>
          <w:color w:val="000000"/>
          <w:sz w:val="28"/>
        </w:rPr>
        <w:t xml:space="preserve">
      2. Уполномочить Есимова Ахметжана Смагуловича - Заместителя Премьер-Министра Республики Казахстан - Министра сельского хозяйства Республики Казахстан подписать письмо Международного Банка Реконструкции и Развития о внесении изменений и дополнений в Соглашение о предоставлении Международным Банком Реконструкции и Развития гранта Республике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на подготовку проекта "Поддержка агросервисных служб </w:t>
      </w:r>
    </w:p>
    <w:p>
      <w:pPr>
        <w:spacing w:after="0"/>
        <w:ind w:left="0"/>
        <w:jc w:val="both"/>
      </w:pPr>
      <w:r>
        <w:rPr>
          <w:rFonts w:ascii="Times New Roman"/>
          <w:b w:val="false"/>
          <w:i w:val="false"/>
          <w:color w:val="000000"/>
          <w:sz w:val="28"/>
        </w:rPr>
        <w:t>(сельхозобслуживание)".</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Всемирный Банк         </w:t>
      </w:r>
    </w:p>
    <w:p>
      <w:pPr>
        <w:spacing w:after="0"/>
        <w:ind w:left="0"/>
        <w:jc w:val="both"/>
      </w:pPr>
      <w:r>
        <w:rPr>
          <w:rFonts w:ascii="Times New Roman"/>
          <w:b w:val="false"/>
          <w:i w:val="false"/>
          <w:color w:val="000000"/>
          <w:sz w:val="28"/>
        </w:rPr>
        <w:t>Международный Банк           1818 H Street N.W.         (202)477-1234</w:t>
      </w:r>
    </w:p>
    <w:p>
      <w:pPr>
        <w:spacing w:after="0"/>
        <w:ind w:left="0"/>
        <w:jc w:val="both"/>
      </w:pPr>
      <w:r>
        <w:rPr>
          <w:rFonts w:ascii="Times New Roman"/>
          <w:b w:val="false"/>
          <w:i w:val="false"/>
          <w:color w:val="000000"/>
          <w:sz w:val="28"/>
        </w:rPr>
        <w:t>Реконструкции и Развития     Wаshingtоn, D.С. 20433     Кабельный адрес:</w:t>
      </w:r>
    </w:p>
    <w:p>
      <w:pPr>
        <w:spacing w:after="0"/>
        <w:ind w:left="0"/>
        <w:jc w:val="both"/>
      </w:pPr>
      <w:r>
        <w:rPr>
          <w:rFonts w:ascii="Times New Roman"/>
          <w:b w:val="false"/>
          <w:i w:val="false"/>
          <w:color w:val="000000"/>
          <w:sz w:val="28"/>
        </w:rPr>
        <w:t>Ассоциация Международного    USA                        INTBAFRAD</w:t>
      </w:r>
    </w:p>
    <w:p>
      <w:pPr>
        <w:spacing w:after="0"/>
        <w:ind w:left="0"/>
        <w:jc w:val="both"/>
      </w:pPr>
      <w:r>
        <w:rPr>
          <w:rFonts w:ascii="Times New Roman"/>
          <w:b w:val="false"/>
          <w:i w:val="false"/>
          <w:color w:val="000000"/>
          <w:sz w:val="28"/>
        </w:rPr>
        <w:t xml:space="preserve">Развития                                                Кабельный адрес:   </w:t>
      </w:r>
    </w:p>
    <w:p>
      <w:pPr>
        <w:spacing w:after="0"/>
        <w:ind w:left="0"/>
        <w:jc w:val="both"/>
      </w:pPr>
      <w:r>
        <w:rPr>
          <w:rFonts w:ascii="Times New Roman"/>
          <w:b w:val="false"/>
          <w:i w:val="false"/>
          <w:color w:val="000000"/>
          <w:sz w:val="28"/>
        </w:rPr>
        <w:t>                                                        INDEVAS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25 января 2002 г.</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Г-ну Жаксыбеку Кулекееву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Министру</w:t>
      </w:r>
    </w:p>
    <w:p>
      <w:pPr>
        <w:spacing w:after="0"/>
        <w:ind w:left="0"/>
        <w:jc w:val="both"/>
      </w:pPr>
      <w:r>
        <w:rPr>
          <w:rFonts w:ascii="Times New Roman"/>
          <w:b w:val="false"/>
          <w:i w:val="false"/>
          <w:color w:val="000000"/>
          <w:sz w:val="28"/>
        </w:rPr>
        <w:t>Министерство экономики и торговли</w:t>
      </w:r>
    </w:p>
    <w:p>
      <w:pPr>
        <w:spacing w:after="0"/>
        <w:ind w:left="0"/>
        <w:jc w:val="both"/>
      </w:pPr>
      <w:r>
        <w:rPr>
          <w:rFonts w:ascii="Times New Roman"/>
          <w:b w:val="false"/>
          <w:i w:val="false"/>
          <w:color w:val="000000"/>
          <w:sz w:val="28"/>
        </w:rPr>
        <w:t>Астана, Республика Казахстан</w:t>
      </w:r>
    </w:p>
    <w:p>
      <w:pPr>
        <w:spacing w:after="0"/>
        <w:ind w:left="0"/>
        <w:jc w:val="both"/>
      </w:pPr>
      <w:r>
        <w:rPr>
          <w:rFonts w:ascii="Times New Roman"/>
          <w:b w:val="false"/>
          <w:i w:val="false"/>
          <w:color w:val="000000"/>
          <w:sz w:val="28"/>
        </w:rPr>
        <w:t xml:space="preserve">       Кас: Проект поддержки агросервисных служб - Грант N TF026444        </w:t>
      </w:r>
    </w:p>
    <w:p>
      <w:pPr>
        <w:spacing w:after="0"/>
        <w:ind w:left="0"/>
        <w:jc w:val="both"/>
      </w:pPr>
      <w:r>
        <w:rPr>
          <w:rFonts w:ascii="Times New Roman"/>
          <w:b w:val="false"/>
          <w:i w:val="false"/>
          <w:color w:val="000000"/>
          <w:sz w:val="28"/>
        </w:rPr>
        <w:t>    Изменения и дополнения в Соглашение о Гранте Японского Правительства</w:t>
      </w:r>
    </w:p>
    <w:p>
      <w:pPr>
        <w:spacing w:after="0"/>
        <w:ind w:left="0"/>
        <w:jc w:val="both"/>
      </w:pPr>
      <w:r>
        <w:rPr>
          <w:rFonts w:ascii="Times New Roman"/>
          <w:b w:val="false"/>
          <w:i w:val="false"/>
          <w:color w:val="000000"/>
          <w:sz w:val="28"/>
        </w:rPr>
        <w:t>     Уважаемый г-н Кулекеев: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Настоящее письмо касается Соглашения о Гранте Японского Правительства на подготовку Проекта поддержки агросервисных служб от 18 декабря 2000 г. и подписанного 18 мая 2001 г. (Соглашение о Японском Гранте) между Республикой Казахстан и Международным Банком Реконструкции и Развития (Банк). В соответствии с просьбой о перераспределении компонентов, мероприятий и средств в рамках Соглашения, одобренного Правительством Японии, мы рады сообщить Вам о том, что Банк согласен внести следующие изменения в указанное Соглашение: </w:t>
      </w:r>
      <w:r>
        <w:br/>
      </w:r>
      <w:r>
        <w:rPr>
          <w:rFonts w:ascii="Times New Roman"/>
          <w:b w:val="false"/>
          <w:i w:val="false"/>
          <w:color w:val="000000"/>
          <w:sz w:val="28"/>
        </w:rPr>
        <w:t xml:space="preserve">
      1. В приложении, первая строка подпункта 1.1. (а) параграфа 1 изменена следующим образом: </w:t>
      </w:r>
      <w:r>
        <w:br/>
      </w:r>
      <w:r>
        <w:rPr>
          <w:rFonts w:ascii="Times New Roman"/>
          <w:b w:val="false"/>
          <w:i w:val="false"/>
          <w:color w:val="000000"/>
          <w:sz w:val="28"/>
        </w:rPr>
        <w:t xml:space="preserve">
      Стратегия сельскохозяйственного маркетинга (187 600 долл. США) </w:t>
      </w:r>
      <w:r>
        <w:br/>
      </w:r>
      <w:r>
        <w:rPr>
          <w:rFonts w:ascii="Times New Roman"/>
          <w:b w:val="false"/>
          <w:i w:val="false"/>
          <w:color w:val="000000"/>
          <w:sz w:val="28"/>
        </w:rPr>
        <w:t xml:space="preserve">
      2. В приложении, первая строка подпункта 1.1. (б) параграфа 1 изменена следующим образом: </w:t>
      </w:r>
      <w:r>
        <w:br/>
      </w:r>
      <w:r>
        <w:rPr>
          <w:rFonts w:ascii="Times New Roman"/>
          <w:b w:val="false"/>
          <w:i w:val="false"/>
          <w:color w:val="000000"/>
          <w:sz w:val="28"/>
        </w:rPr>
        <w:t xml:space="preserve">
      План технического обслуживания (249 200 долл. США) </w:t>
      </w:r>
      <w:r>
        <w:br/>
      </w:r>
      <w:r>
        <w:rPr>
          <w:rFonts w:ascii="Times New Roman"/>
          <w:b w:val="false"/>
          <w:i w:val="false"/>
          <w:color w:val="000000"/>
          <w:sz w:val="28"/>
        </w:rPr>
        <w:t xml:space="preserve">
      3. В приложении, параграфе 1, подпункте 1.1.(б), предложение "Предусматривается организовать семинар для основных участников программы конкурсных грантов, примерная стоимость которого оценивается в 6000 долларов США." удалено. </w:t>
      </w:r>
      <w:r>
        <w:br/>
      </w:r>
      <w:r>
        <w:rPr>
          <w:rFonts w:ascii="Times New Roman"/>
          <w:b w:val="false"/>
          <w:i w:val="false"/>
          <w:color w:val="000000"/>
          <w:sz w:val="28"/>
        </w:rPr>
        <w:t xml:space="preserve">
      4. В приложении, первую строку подпункта 1.1.(в) параграфа 1 следует читать: </w:t>
      </w:r>
      <w:r>
        <w:br/>
      </w:r>
      <w:r>
        <w:rPr>
          <w:rFonts w:ascii="Times New Roman"/>
          <w:b w:val="false"/>
          <w:i w:val="false"/>
          <w:color w:val="000000"/>
          <w:sz w:val="28"/>
        </w:rPr>
        <w:t xml:space="preserve">
      Наращивание потенциала Министерства сельского хозяйства (186 800 долл. США) </w:t>
      </w:r>
      <w:r>
        <w:br/>
      </w:r>
      <w:r>
        <w:rPr>
          <w:rFonts w:ascii="Times New Roman"/>
          <w:b w:val="false"/>
          <w:i w:val="false"/>
          <w:color w:val="000000"/>
          <w:sz w:val="28"/>
        </w:rPr>
        <w:t xml:space="preserve">
      5. В приложении, подпункте 1.1. (в) параграфа 1 знак "." после слова "информации" заменен знаком ":" и введен новый подпункт "v" в следующем изложении: </w:t>
      </w:r>
      <w:r>
        <w:br/>
      </w:r>
      <w:r>
        <w:rPr>
          <w:rFonts w:ascii="Times New Roman"/>
          <w:b w:val="false"/>
          <w:i w:val="false"/>
          <w:color w:val="000000"/>
          <w:sz w:val="28"/>
        </w:rPr>
        <w:t xml:space="preserve">
      "и (v) аудита средств гранта." </w:t>
      </w:r>
      <w:r>
        <w:br/>
      </w:r>
      <w:r>
        <w:rPr>
          <w:rFonts w:ascii="Times New Roman"/>
          <w:b w:val="false"/>
          <w:i w:val="false"/>
          <w:color w:val="000000"/>
          <w:sz w:val="28"/>
        </w:rPr>
        <w:t xml:space="preserve">
      6. В приложении, параграф 3 изменен следующим образом: </w:t>
      </w:r>
      <w:r>
        <w:br/>
      </w:r>
      <w:r>
        <w:rPr>
          <w:rFonts w:ascii="Times New Roman"/>
          <w:b w:val="false"/>
          <w:i w:val="false"/>
          <w:color w:val="000000"/>
          <w:sz w:val="28"/>
        </w:rPr>
        <w:t xml:space="preserve">
      "3. Закупки </w:t>
      </w:r>
      <w:r>
        <w:br/>
      </w:r>
      <w:r>
        <w:rPr>
          <w:rFonts w:ascii="Times New Roman"/>
          <w:b w:val="false"/>
          <w:i w:val="false"/>
          <w:color w:val="000000"/>
          <w:sz w:val="28"/>
        </w:rPr>
        <w:t xml:space="preserve">
      3.1. За исключением случаев, согласованных с Банком, закупки услуг консультантов и товаров, необходимых для выполнения мероприятий и финансируемых из средств Гранта, регулируются положениями дополнения I к настоящему приложению. </w:t>
      </w:r>
      <w:r>
        <w:br/>
      </w:r>
      <w:r>
        <w:rPr>
          <w:rFonts w:ascii="Times New Roman"/>
          <w:b w:val="false"/>
          <w:i w:val="false"/>
          <w:color w:val="000000"/>
          <w:sz w:val="28"/>
        </w:rPr>
        <w:t xml:space="preserve">
      3.2. Получатель должен удостовериться, что все импортируемые товары, финансируемые из средств Гранта должны быть застрахованы от ущерба, который может возникнуть в процессе приобретения, транспортировки и доставки к месту использования или установки, и что любые компенсации на застрахованные товары должны выплачиваться в свободно конвертируемой валюте для замены или ремонта таких товаров. Получатель должен удостовериться, что все оборудование, предназначенное для осуществления мероприятий, всегда используется и содержится в надлежащем состоянии, и что любой ремонт или замена такого оборудования должны производиться по необходимости и в скорейшем времени. </w:t>
      </w:r>
      <w:r>
        <w:br/>
      </w:r>
      <w:r>
        <w:rPr>
          <w:rFonts w:ascii="Times New Roman"/>
          <w:b w:val="false"/>
          <w:i w:val="false"/>
          <w:color w:val="000000"/>
          <w:sz w:val="28"/>
        </w:rPr>
        <w:t xml:space="preserve">
      7. В приложении, подпункты 4.1, 4.2, 4.3, 4.4 и 4.5 параграфа 4 изменены следующим образом: </w:t>
      </w:r>
      <w:r>
        <w:br/>
      </w:r>
      <w:r>
        <w:rPr>
          <w:rFonts w:ascii="Times New Roman"/>
          <w:b w:val="false"/>
          <w:i w:val="false"/>
          <w:color w:val="000000"/>
          <w:sz w:val="28"/>
        </w:rPr>
        <w:t xml:space="preserve">
      "4. Снятие со счета средств гранта </w:t>
      </w:r>
      <w:r>
        <w:br/>
      </w:r>
      <w:r>
        <w:rPr>
          <w:rFonts w:ascii="Times New Roman"/>
          <w:b w:val="false"/>
          <w:i w:val="false"/>
          <w:color w:val="000000"/>
          <w:sz w:val="28"/>
        </w:rPr>
        <w:t xml:space="preserve">
      4.1. Сумма Гранта будет зачислена на счет, открытый Банком в своих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бухгалтерских отчетах на имя Получателя (далее - Грантовый Счет), и </w:t>
      </w:r>
    </w:p>
    <w:p>
      <w:pPr>
        <w:spacing w:after="0"/>
        <w:ind w:left="0"/>
        <w:jc w:val="both"/>
      </w:pPr>
      <w:r>
        <w:rPr>
          <w:rFonts w:ascii="Times New Roman"/>
          <w:b w:val="false"/>
          <w:i w:val="false"/>
          <w:color w:val="000000"/>
          <w:sz w:val="28"/>
        </w:rPr>
        <w:t xml:space="preserve">средства могут быть сняты оттуда Получателем в соответствии с положениями </w:t>
      </w:r>
    </w:p>
    <w:p>
      <w:pPr>
        <w:spacing w:after="0"/>
        <w:ind w:left="0"/>
        <w:jc w:val="both"/>
      </w:pPr>
      <w:r>
        <w:rPr>
          <w:rFonts w:ascii="Times New Roman"/>
          <w:b w:val="false"/>
          <w:i w:val="false"/>
          <w:color w:val="000000"/>
          <w:sz w:val="28"/>
        </w:rPr>
        <w:t xml:space="preserve">данного раздела 4, для расходов на услуги и товары, приобретенные по </w:t>
      </w:r>
    </w:p>
    <w:p>
      <w:pPr>
        <w:spacing w:after="0"/>
        <w:ind w:left="0"/>
        <w:jc w:val="both"/>
      </w:pPr>
      <w:r>
        <w:rPr>
          <w:rFonts w:ascii="Times New Roman"/>
          <w:b w:val="false"/>
          <w:i w:val="false"/>
          <w:color w:val="000000"/>
          <w:sz w:val="28"/>
        </w:rPr>
        <w:t xml:space="preserve">разумной стоимости, которые необходимы для выполнения мероприятий, и </w:t>
      </w:r>
    </w:p>
    <w:p>
      <w:pPr>
        <w:spacing w:after="0"/>
        <w:ind w:left="0"/>
        <w:jc w:val="both"/>
      </w:pPr>
      <w:r>
        <w:rPr>
          <w:rFonts w:ascii="Times New Roman"/>
          <w:b w:val="false"/>
          <w:i w:val="false"/>
          <w:color w:val="000000"/>
          <w:sz w:val="28"/>
        </w:rPr>
        <w:t>предусмотрены для финансирования из средств Гранта.</w:t>
      </w:r>
    </w:p>
    <w:p>
      <w:pPr>
        <w:spacing w:after="0"/>
        <w:ind w:left="0"/>
        <w:jc w:val="both"/>
      </w:pPr>
      <w:r>
        <w:rPr>
          <w:rFonts w:ascii="Times New Roman"/>
          <w:b w:val="false"/>
          <w:i w:val="false"/>
          <w:color w:val="000000"/>
          <w:sz w:val="28"/>
        </w:rPr>
        <w:t xml:space="preserve">     4.2. Расходы на следующие категории могут финансироваться из средств </w:t>
      </w:r>
    </w:p>
    <w:p>
      <w:pPr>
        <w:spacing w:after="0"/>
        <w:ind w:left="0"/>
        <w:jc w:val="both"/>
      </w:pPr>
      <w:r>
        <w:rPr>
          <w:rFonts w:ascii="Times New Roman"/>
          <w:b w:val="false"/>
          <w:i w:val="false"/>
          <w:color w:val="000000"/>
          <w:sz w:val="28"/>
        </w:rPr>
        <w:t>Гранта и должны использоваться исключительно для выполнения мероприятий:</w:t>
      </w:r>
    </w:p>
    <w:p>
      <w:pPr>
        <w:spacing w:after="0"/>
        <w:ind w:left="0"/>
        <w:jc w:val="both"/>
      </w:pPr>
      <w:r>
        <w:rPr>
          <w:rFonts w:ascii="Times New Roman"/>
          <w:b w:val="false"/>
          <w:i w:val="false"/>
          <w:color w:val="000000"/>
          <w:sz w:val="28"/>
        </w:rPr>
        <w:t xml:space="preserve">Категории              Выделяемая сумма         % финансируемой суммы  </w:t>
      </w:r>
    </w:p>
    <w:p>
      <w:pPr>
        <w:spacing w:after="0"/>
        <w:ind w:left="0"/>
        <w:jc w:val="both"/>
      </w:pPr>
      <w:r>
        <w:rPr>
          <w:rFonts w:ascii="Times New Roman"/>
          <w:b w:val="false"/>
          <w:i w:val="false"/>
          <w:color w:val="000000"/>
          <w:sz w:val="28"/>
        </w:rPr>
        <w:t>                       Гранта (в долларах       расходов</w:t>
      </w:r>
    </w:p>
    <w:p>
      <w:pPr>
        <w:spacing w:after="0"/>
        <w:ind w:left="0"/>
        <w:jc w:val="both"/>
      </w:pPr>
      <w:r>
        <w:rPr>
          <w:rFonts w:ascii="Times New Roman"/>
          <w:b w:val="false"/>
          <w:i w:val="false"/>
          <w:color w:val="000000"/>
          <w:sz w:val="28"/>
        </w:rPr>
        <w:t>                       США)</w:t>
      </w:r>
    </w:p>
    <w:p>
      <w:pPr>
        <w:spacing w:after="0"/>
        <w:ind w:left="0"/>
        <w:jc w:val="both"/>
      </w:pPr>
      <w:r>
        <w:rPr>
          <w:rFonts w:ascii="Times New Roman"/>
          <w:b w:val="false"/>
          <w:i w:val="false"/>
          <w:color w:val="000000"/>
          <w:sz w:val="28"/>
        </w:rPr>
        <w:t xml:space="preserve">(1) Услуги         </w:t>
      </w:r>
    </w:p>
    <w:p>
      <w:pPr>
        <w:spacing w:after="0"/>
        <w:ind w:left="0"/>
        <w:jc w:val="both"/>
      </w:pPr>
      <w:r>
        <w:rPr>
          <w:rFonts w:ascii="Times New Roman"/>
          <w:b w:val="false"/>
          <w:i w:val="false"/>
          <w:color w:val="000000"/>
          <w:sz w:val="28"/>
        </w:rPr>
        <w:t>    консультантов      591 500                  100%</w:t>
      </w:r>
    </w:p>
    <w:p>
      <w:pPr>
        <w:spacing w:after="0"/>
        <w:ind w:left="0"/>
        <w:jc w:val="both"/>
      </w:pPr>
      <w:r>
        <w:rPr>
          <w:rFonts w:ascii="Times New Roman"/>
          <w:b w:val="false"/>
          <w:i w:val="false"/>
          <w:color w:val="000000"/>
          <w:sz w:val="28"/>
        </w:rPr>
        <w:t>(2) Семинары             6 000                  100%</w:t>
      </w:r>
    </w:p>
    <w:p>
      <w:pPr>
        <w:spacing w:after="0"/>
        <w:ind w:left="0"/>
        <w:jc w:val="both"/>
      </w:pPr>
      <w:r>
        <w:rPr>
          <w:rFonts w:ascii="Times New Roman"/>
          <w:b w:val="false"/>
          <w:i w:val="false"/>
          <w:color w:val="000000"/>
          <w:sz w:val="28"/>
        </w:rPr>
        <w:t>(3) Товары              16 000                  100% внешних расходов,</w:t>
      </w:r>
    </w:p>
    <w:p>
      <w:pPr>
        <w:spacing w:after="0"/>
        <w:ind w:left="0"/>
        <w:jc w:val="both"/>
      </w:pPr>
      <w:r>
        <w:rPr>
          <w:rFonts w:ascii="Times New Roman"/>
          <w:b w:val="false"/>
          <w:i w:val="false"/>
          <w:color w:val="000000"/>
          <w:sz w:val="28"/>
        </w:rPr>
        <w:t>                                                100% местных расходов</w:t>
      </w:r>
    </w:p>
    <w:p>
      <w:pPr>
        <w:spacing w:after="0"/>
        <w:ind w:left="0"/>
        <w:jc w:val="both"/>
      </w:pPr>
      <w:r>
        <w:rPr>
          <w:rFonts w:ascii="Times New Roman"/>
          <w:b w:val="false"/>
          <w:i w:val="false"/>
          <w:color w:val="000000"/>
          <w:sz w:val="28"/>
        </w:rPr>
        <w:t>                                                (цена завода-изготовителя)</w:t>
      </w:r>
    </w:p>
    <w:p>
      <w:pPr>
        <w:spacing w:after="0"/>
        <w:ind w:left="0"/>
        <w:jc w:val="both"/>
      </w:pPr>
      <w:r>
        <w:rPr>
          <w:rFonts w:ascii="Times New Roman"/>
          <w:b w:val="false"/>
          <w:i w:val="false"/>
          <w:color w:val="000000"/>
          <w:sz w:val="28"/>
        </w:rPr>
        <w:t>                                                и 85% местных расходов на</w:t>
      </w:r>
    </w:p>
    <w:p>
      <w:pPr>
        <w:spacing w:after="0"/>
        <w:ind w:left="0"/>
        <w:jc w:val="both"/>
      </w:pPr>
      <w:r>
        <w:rPr>
          <w:rFonts w:ascii="Times New Roman"/>
          <w:b w:val="false"/>
          <w:i w:val="false"/>
          <w:color w:val="000000"/>
          <w:sz w:val="28"/>
        </w:rPr>
        <w:t>                                               другие товары, приобретаемые</w:t>
      </w:r>
    </w:p>
    <w:p>
      <w:pPr>
        <w:spacing w:after="0"/>
        <w:ind w:left="0"/>
        <w:jc w:val="both"/>
      </w:pPr>
      <w:r>
        <w:rPr>
          <w:rFonts w:ascii="Times New Roman"/>
          <w:b w:val="false"/>
          <w:i w:val="false"/>
          <w:color w:val="000000"/>
          <w:sz w:val="28"/>
        </w:rPr>
        <w:t>                                                на местном рынке</w:t>
      </w:r>
    </w:p>
    <w:p>
      <w:pPr>
        <w:spacing w:after="0"/>
        <w:ind w:left="0"/>
        <w:jc w:val="both"/>
      </w:pPr>
      <w:r>
        <w:rPr>
          <w:rFonts w:ascii="Times New Roman"/>
          <w:b w:val="false"/>
          <w:i w:val="false"/>
          <w:color w:val="000000"/>
          <w:sz w:val="28"/>
        </w:rPr>
        <w:t>(4) Операционные         6 000                  100%</w:t>
      </w:r>
    </w:p>
    <w:p>
      <w:pPr>
        <w:spacing w:after="0"/>
        <w:ind w:left="0"/>
        <w:jc w:val="both"/>
      </w:pP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(5) Аудит счетов Гранта  4 100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623 600 </w:t>
      </w:r>
    </w:p>
    <w:p>
      <w:pPr>
        <w:spacing w:after="0"/>
        <w:ind w:left="0"/>
        <w:jc w:val="both"/>
      </w:pPr>
      <w:r>
        <w:rPr>
          <w:rFonts w:ascii="Times New Roman"/>
          <w:b w:val="false"/>
          <w:i w:val="false"/>
          <w:color w:val="000000"/>
          <w:sz w:val="28"/>
        </w:rPr>
        <w:t>     Значения терминов: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"внешние расходы" означает расходы в валюте любой страны, кроме страны Получателя за товары и услуги, поставляемые с территории любой страны, кроме страны Получателя; </w:t>
      </w:r>
      <w:r>
        <w:br/>
      </w:r>
      <w:r>
        <w:rPr>
          <w:rFonts w:ascii="Times New Roman"/>
          <w:b w:val="false"/>
          <w:i w:val="false"/>
          <w:color w:val="000000"/>
          <w:sz w:val="28"/>
        </w:rPr>
        <w:t xml:space="preserve">
      (б) "местные расходы" означает любые расходы, не являющиеся внешними расходами, однако, если валюта Получателя является идентичной валюте той страны, с территории которой поставляются товары и услуги, расходы в такой валюте на такие товары и услуги считаются внешними расходами. </w:t>
      </w:r>
      <w:r>
        <w:br/>
      </w:r>
      <w:r>
        <w:rPr>
          <w:rFonts w:ascii="Times New Roman"/>
          <w:b w:val="false"/>
          <w:i w:val="false"/>
          <w:color w:val="000000"/>
          <w:sz w:val="28"/>
        </w:rPr>
        <w:t xml:space="preserve">
      (в) "семинар" означает расходы по семинару, такие как: командировки, суточные, аренда помещения, расходы на переводческие услуги и оборудование; и </w:t>
      </w:r>
      <w:r>
        <w:br/>
      </w:r>
      <w:r>
        <w:rPr>
          <w:rFonts w:ascii="Times New Roman"/>
          <w:b w:val="false"/>
          <w:i w:val="false"/>
          <w:color w:val="000000"/>
          <w:sz w:val="28"/>
        </w:rPr>
        <w:t xml:space="preserve">
      (г) "операционные расходы" означает расходы на офисное помещение. </w:t>
      </w:r>
      <w:r>
        <w:br/>
      </w:r>
      <w:r>
        <w:rPr>
          <w:rFonts w:ascii="Times New Roman"/>
          <w:b w:val="false"/>
          <w:i w:val="false"/>
          <w:color w:val="000000"/>
          <w:sz w:val="28"/>
        </w:rPr>
        <w:t xml:space="preserve">
      4.3. Несмотря на положения, содержащиеся выше в параграфе 4.2: </w:t>
      </w:r>
      <w:r>
        <w:br/>
      </w:r>
      <w:r>
        <w:rPr>
          <w:rFonts w:ascii="Times New Roman"/>
          <w:b w:val="false"/>
          <w:i w:val="false"/>
          <w:color w:val="000000"/>
          <w:sz w:val="28"/>
        </w:rPr>
        <w:t xml:space="preserve">
      (а) Средства со счета не должны сниматься: (i) на оплату расходов, осуществленных до даты подписания Банком настоящего Письма-соглашения; (ii) в счет уплаты любых налогов, взимаемых на территории Получателя; (iii) в счет расходов на территории любой страны, не являющейся членом Банка, или за товары, произведенные в таких странах или услуги, поставляемые с таких территорий; (iv) в целях произведения любой оплаты индивидуумам или организациям, или импорта товаров, если такой импорт или такая оплата, насколько известно Банку, запрещены решением Совета Безопасности Организации Объединенных Наций, принятым в Главе VII Устава Организации Объединенных Наций; </w:t>
      </w:r>
      <w:r>
        <w:br/>
      </w:r>
      <w:r>
        <w:rPr>
          <w:rFonts w:ascii="Times New Roman"/>
          <w:b w:val="false"/>
          <w:i w:val="false"/>
          <w:color w:val="000000"/>
          <w:sz w:val="28"/>
        </w:rPr>
        <w:t xml:space="preserve">
      (б) Средства со счета не снимаются после 31 октября 2002 года или более поздней даты, установленной Банком письменным уведомлением Получателя (дата закрытия), за исключением случаев, когда дата закрытия не может быть иной, как только установленная Банком для финансирования Проекта. Однако средства со счета могут быть сняты после даты закрытия в случае, если соответствующая заявка получена Банком в течение четырех месяцев после даты закрытия, по истечении которых любая сумма неиспользованных средств Гранта на счете аннулируется; и </w:t>
      </w:r>
      <w:r>
        <w:br/>
      </w:r>
      <w:r>
        <w:rPr>
          <w:rFonts w:ascii="Times New Roman"/>
          <w:b w:val="false"/>
          <w:i w:val="false"/>
          <w:color w:val="000000"/>
          <w:sz w:val="28"/>
        </w:rPr>
        <w:t xml:space="preserve">
      (в) Если, по мнению Банка, сумма Гранта, назначенная на любую из статей, указанных в таблице параграфа 4.2, будет недостаточной для финансирования расходов по этим статьям, Банк может, письменно уведомив Получателя, перераспределить на такую статью сумму из средств Гранта, назначенную на расходы по другой статье, по которому, по мнению Банка, расходы будут не обязательными. </w:t>
      </w:r>
      <w:r>
        <w:br/>
      </w:r>
      <w:r>
        <w:rPr>
          <w:rFonts w:ascii="Times New Roman"/>
          <w:b w:val="false"/>
          <w:i w:val="false"/>
          <w:color w:val="000000"/>
          <w:sz w:val="28"/>
        </w:rPr>
        <w:t xml:space="preserve">
      4.4. Когда Получатель пожелает снять какую-либо сумму с грантового счета, он должен подать в Банк письменную заявку на снятие этой суммы в форме, указанной Банком. Заявка на снятие средств со счета должна быть: (а) подписана от имени Получателя Министром финансов или другим лицом им уполномоченным в письменном виде; (б) сопровождена обоснованиями в поддержку заявок, которые Банк обоснованно запросит. Заверенный образец подписи лица, уполномоченного подписать заявку на снятие со счета, должен быть предоставлен с первой заявкой с его или ее подписью. Каждая заявка на снятие суммы со счета и сопровождающие обоснования должны быть достаточны по форме и содержанию для убеждения Банка в том, что Получатель имеет право снять эту сумму с грантового счета, и что эта сумма будет использована на выполнение мероприятий. Банк выплатит суммы, снятые со счета Получателем с грантового счета, только Получателю или в соответствии с его распоряжением. </w:t>
      </w:r>
      <w:r>
        <w:br/>
      </w:r>
      <w:r>
        <w:rPr>
          <w:rFonts w:ascii="Times New Roman"/>
          <w:b w:val="false"/>
          <w:i w:val="false"/>
          <w:color w:val="000000"/>
          <w:sz w:val="28"/>
        </w:rPr>
        <w:t xml:space="preserve">
      4.5. Банк может потребовать, чтобы снятие средств с грантового счета производилось на основе отчета о расходах на: (а) услуги консалтинговых фирм стоимостью менее эквивалента 35 000 долл. США; и (б) услуги индивидуальных консультантов стоимостью менее эквивалента 25 000 долл. США; (в) семинары; (г) операционные расходы, во всех случаях на таких условиях, о которых Банк уведомит Получателя. </w:t>
      </w:r>
      <w:r>
        <w:br/>
      </w:r>
      <w:r>
        <w:rPr>
          <w:rFonts w:ascii="Times New Roman"/>
          <w:b w:val="false"/>
          <w:i w:val="false"/>
          <w:color w:val="000000"/>
          <w:sz w:val="28"/>
        </w:rPr>
        <w:t xml:space="preserve">
      8. В дополнение I, раздел 1, часть В добавлен новый подраздел 3: </w:t>
      </w:r>
      <w:r>
        <w:br/>
      </w:r>
      <w:r>
        <w:rPr>
          <w:rFonts w:ascii="Times New Roman"/>
          <w:b w:val="false"/>
          <w:i w:val="false"/>
          <w:color w:val="000000"/>
          <w:sz w:val="28"/>
        </w:rPr>
        <w:t xml:space="preserve">
      "3. Отбор, основанный на профессиональных качествах консультантов </w:t>
      </w:r>
      <w:r>
        <w:br/>
      </w:r>
      <w:r>
        <w:rPr>
          <w:rFonts w:ascii="Times New Roman"/>
          <w:b w:val="false"/>
          <w:i w:val="false"/>
          <w:color w:val="000000"/>
          <w:sz w:val="28"/>
        </w:rPr>
        <w:t xml:space="preserve">
      Аудиторские услуги в рамках гранта согласно параграфу 1.1 (в) (v) приложения закупаются по контрактам, присужденным в соответствии с положениями параграфов с 3.1. по 3.7 Руководства по отбору и найму консультантов" </w:t>
      </w:r>
      <w:r>
        <w:br/>
      </w:r>
      <w:r>
        <w:rPr>
          <w:rFonts w:ascii="Times New Roman"/>
          <w:b w:val="false"/>
          <w:i w:val="false"/>
          <w:color w:val="000000"/>
          <w:sz w:val="28"/>
        </w:rPr>
        <w:t xml:space="preserve">
      9. В дополнение I введен новый раздел II в следующем изложении: </w:t>
      </w:r>
      <w:r>
        <w:br/>
      </w:r>
      <w:r>
        <w:rPr>
          <w:rFonts w:ascii="Times New Roman"/>
          <w:b w:val="false"/>
          <w:i w:val="false"/>
          <w:color w:val="000000"/>
          <w:sz w:val="28"/>
        </w:rPr>
        <w:t xml:space="preserve">
      "Раздел II. Закупка Товаров </w:t>
      </w:r>
      <w:r>
        <w:br/>
      </w:r>
      <w:r>
        <w:rPr>
          <w:rFonts w:ascii="Times New Roman"/>
          <w:b w:val="false"/>
          <w:i w:val="false"/>
          <w:color w:val="000000"/>
          <w:sz w:val="28"/>
        </w:rPr>
        <w:t xml:space="preserve">
      Товары должны закупаться: (а) в соответствии с условиями Раздела I "Руководства по закупкам в рамках займов МБРР и кредитов АМР", опубликованного Банком в январе 1995 года и пересмотренного в январе, августе 1996 года, сентябре 1997 года и январе 1999 года (далее - Руководство); (б) по контрактам, присужденным на основе процедур закупок в соответствии с условиями параграфов 3.5 и 3.6 Руководства. Процедуры рассмотрения, изложенные в параграфе 4 приложении 1 к Руководству должны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применяться к таким контрактам при том, что словосочетание "тендерные </w:t>
      </w:r>
    </w:p>
    <w:p>
      <w:pPr>
        <w:spacing w:after="0"/>
        <w:ind w:left="0"/>
        <w:jc w:val="both"/>
      </w:pPr>
      <w:r>
        <w:rPr>
          <w:rFonts w:ascii="Times New Roman"/>
          <w:b w:val="false"/>
          <w:i w:val="false"/>
          <w:color w:val="000000"/>
          <w:sz w:val="28"/>
        </w:rPr>
        <w:t>предложения" в параграфе 4 заменено на слово "расценки".</w:t>
      </w:r>
    </w:p>
    <w:p>
      <w:pPr>
        <w:spacing w:after="0"/>
        <w:ind w:left="0"/>
        <w:jc w:val="both"/>
      </w:pPr>
      <w:r>
        <w:rPr>
          <w:rFonts w:ascii="Times New Roman"/>
          <w:b w:val="false"/>
          <w:i w:val="false"/>
          <w:color w:val="000000"/>
          <w:sz w:val="28"/>
        </w:rPr>
        <w:t xml:space="preserve">     Пожалуйста, подтвердите свое согласие с приведенными выше поправками, </w:t>
      </w:r>
    </w:p>
    <w:p>
      <w:pPr>
        <w:spacing w:after="0"/>
        <w:ind w:left="0"/>
        <w:jc w:val="both"/>
      </w:pPr>
      <w:r>
        <w:rPr>
          <w:rFonts w:ascii="Times New Roman"/>
          <w:b w:val="false"/>
          <w:i w:val="false"/>
          <w:color w:val="000000"/>
          <w:sz w:val="28"/>
        </w:rPr>
        <w:t xml:space="preserve">подписав, проставив дату и вернув нам приложенную копию данного письма. </w:t>
      </w:r>
    </w:p>
    <w:p>
      <w:pPr>
        <w:spacing w:after="0"/>
        <w:ind w:left="0"/>
        <w:jc w:val="both"/>
      </w:pPr>
      <w:r>
        <w:rPr>
          <w:rFonts w:ascii="Times New Roman"/>
          <w:b w:val="false"/>
          <w:i w:val="false"/>
          <w:color w:val="000000"/>
          <w:sz w:val="28"/>
        </w:rPr>
        <w:t xml:space="preserve">Эти изменения вступят в силу сразу после получения нами подписанного </w:t>
      </w:r>
    </w:p>
    <w:p>
      <w:pPr>
        <w:spacing w:after="0"/>
        <w:ind w:left="0"/>
        <w:jc w:val="both"/>
      </w:pPr>
      <w:r>
        <w:rPr>
          <w:rFonts w:ascii="Times New Roman"/>
          <w:b w:val="false"/>
          <w:i w:val="false"/>
          <w:color w:val="000000"/>
          <w:sz w:val="28"/>
        </w:rPr>
        <w:t>письма.</w:t>
      </w:r>
    </w:p>
    <w:p>
      <w:pPr>
        <w:spacing w:after="0"/>
        <w:ind w:left="0"/>
        <w:jc w:val="both"/>
      </w:pPr>
      <w:r>
        <w:rPr>
          <w:rFonts w:ascii="Times New Roman"/>
          <w:b w:val="false"/>
          <w:i w:val="false"/>
          <w:color w:val="000000"/>
          <w:sz w:val="28"/>
        </w:rPr>
        <w:t xml:space="preserve">                              С уважением, </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Нэнси Кук</w:t>
      </w:r>
    </w:p>
    <w:p>
      <w:pPr>
        <w:spacing w:after="0"/>
        <w:ind w:left="0"/>
        <w:jc w:val="both"/>
      </w:pPr>
      <w:r>
        <w:rPr>
          <w:rFonts w:ascii="Times New Roman"/>
          <w:b w:val="false"/>
          <w:i w:val="false"/>
          <w:color w:val="000000"/>
          <w:sz w:val="28"/>
        </w:rPr>
        <w:t xml:space="preserve">                          Действующий Директор </w:t>
      </w:r>
    </w:p>
    <w:p>
      <w:pPr>
        <w:spacing w:after="0"/>
        <w:ind w:left="0"/>
        <w:jc w:val="both"/>
      </w:pPr>
      <w:r>
        <w:rPr>
          <w:rFonts w:ascii="Times New Roman"/>
          <w:b w:val="false"/>
          <w:i w:val="false"/>
          <w:color w:val="000000"/>
          <w:sz w:val="28"/>
        </w:rPr>
        <w:t xml:space="preserve">                      Департамент Центральной Азии </w:t>
      </w:r>
    </w:p>
    <w:p>
      <w:pPr>
        <w:spacing w:after="0"/>
        <w:ind w:left="0"/>
        <w:jc w:val="both"/>
      </w:pP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Ф.И.О. _____________________</w:t>
      </w:r>
    </w:p>
    <w:p>
      <w:pPr>
        <w:spacing w:after="0"/>
        <w:ind w:left="0"/>
        <w:jc w:val="both"/>
      </w:pPr>
      <w:r>
        <w:rPr>
          <w:rFonts w:ascii="Times New Roman"/>
          <w:b w:val="false"/>
          <w:i w:val="false"/>
          <w:color w:val="000000"/>
          <w:sz w:val="28"/>
        </w:rPr>
        <w:t>     Должность:__________________</w:t>
      </w:r>
    </w:p>
    <w:p>
      <w:pPr>
        <w:spacing w:after="0"/>
        <w:ind w:left="0"/>
        <w:jc w:val="both"/>
      </w:pPr>
      <w:r>
        <w:rPr>
          <w:rFonts w:ascii="Times New Roman"/>
          <w:b w:val="false"/>
          <w:i w:val="false"/>
          <w:color w:val="000000"/>
          <w:sz w:val="28"/>
        </w:rPr>
        <w:t xml:space="preserve">     Дата: 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