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3eaa" w14:textId="0c5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постановления Правительства Республики Казахстан от 10 марта 2000 года N 378 и от 23 января 2002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2002 года N 1135. Утратило силу постановлением Правительства Республики Казахстан от 26 января 2009 года N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следующие дополнение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10 марта 2000 года N 378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P000378_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 (САПП Республики Казахстан, 2000 г., N 15, ст. 145):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примечания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импорта товаров, в рамках договоров о государственных закупках, вместо устава и обязательства о целевом использовании ввозимых товаров, в таможенные органы предоставляется договор, заключенный между заказчиком и поставщиком, осуществляющим импорт";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