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3bee" w14:textId="2a73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2003 года N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2003 года N 259 "О некоторых вопросах кредитования и субсидирования агропромышленного сектора"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Сумма субсидирования, предоставляемая из республиканского бюджета, составляет до 80 % от процентной ставки кредита, выдаваемого Банком Заемщику. При этом доля субсидируемой части процентной ставки кредита должна быть равной для всех Заемщиков.";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 первого по десятый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Средства для субсидирования процентной ставки Администратор программы распределяет по кредитам, выдаваемым Банками Заемщикам по следующим подотраслям (лотам):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переработка мяса;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переработка молока;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переработка кожсырья и шерсти;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переработка плодов, ягод, овощей и производство плодоовощных консервов, детского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переработка масличных культур и производство растительного масла".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9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