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aa8" w14:textId="2aa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150е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1429 "Об утверждении паспортов республиканских бюджетных программ на 2003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"Мероприятия по реализации программы (подпрограммы)" таблицы пункта 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электронных весов для осуществления экспертных исследований.";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334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"Мероприятия по реализации программы (подпрограммы)" таблицы пункта 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постоянных рубрик по правовой тематике в периодических печатных изданиях, подготовка теле- и 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 и выпуск рекламно-имиджевых роликов правового содержания. Подготовка и выпуск учебных пособий, программ, методических пособий и разработок по правовым дисциплинам.".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