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e1a5" w14:textId="2b2e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и согласования комплексных схем градостроительного планирования территорий регионов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2004 года N 397.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05.12.2023 </w:t>
      </w:r>
      <w:r>
        <w:rPr>
          <w:rFonts w:ascii="Times New Roman"/>
          <w:b w:val="false"/>
          <w:i w:val="false"/>
          <w:color w:val="ff0000"/>
          <w:sz w:val="28"/>
        </w:rPr>
        <w:t>№ 1081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"Об архитектурной, градостроительной и строительной деятельности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05.12.2023 </w:t>
      </w:r>
      <w:r>
        <w:rPr>
          <w:rFonts w:ascii="Times New Roman"/>
          <w:b w:val="false"/>
          <w:i w:val="false"/>
          <w:color w:val="000000"/>
          <w:sz w:val="28"/>
        </w:rPr>
        <w:t>№ 1081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постановлением Правительства РК от 05.12.2023 </w:t>
      </w:r>
      <w:r>
        <w:rPr>
          <w:rFonts w:ascii="Times New Roman"/>
          <w:b w:val="false"/>
          <w:i w:val="false"/>
          <w:color w:val="000000"/>
          <w:sz w:val="28"/>
        </w:rPr>
        <w:t>№ 1081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разработки и согласования комплексных схем градостроительного планирования территорий регионов.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2004 года N 397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и согласования межрегиональных схем территориального развития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исключены постановлением Правительства РК от 05.12.2023 </w:t>
      </w:r>
      <w:r>
        <w:rPr>
          <w:rFonts w:ascii="Times New Roman"/>
          <w:b w:val="false"/>
          <w:i w:val="false"/>
          <w:color w:val="ff0000"/>
          <w:sz w:val="28"/>
        </w:rPr>
        <w:t>№ 1081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2004 года N 397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и согласования комплексных схем градостроительного планирования территорий регионов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23.12.2015 </w:t>
      </w:r>
      <w:r>
        <w:rPr>
          <w:rFonts w:ascii="Times New Roman"/>
          <w:b w:val="false"/>
          <w:i w:val="false"/>
          <w:color w:val="ff0000"/>
          <w:sz w:val="28"/>
        </w:rPr>
        <w:t>№ 1035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Настоящие Правила разработки и согласования комплексных схем градостроительного планирования территорий отдельных регионов (области или какой-либо ее части)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"Об архитектурной, градостроительной и строительной деятельности в Республике Казахстан" и устанавливают порядок разработки и согласования комплексных схем градостроительного планирования территории области либо ее части. 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Заказчиком по разработке комплексных схем градостроительного планирования территорий регионов является местный исполнительный орган по делам архитектуры, градостроительства и строительства (далее – заказчик). Заказчик определяет разработчика (генерального проектировщика). 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Комплексные схемы градостроительного планирования территорий подведомственных административно-территориальных единиц (проектов районной планировки) разрабатываются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генеральной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схемой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территории Республики Казахстан и соответствующей межрегиональной схемой территориального развития (при ее наличии для данной территории). 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Комплексные схемы градостроительного планирования территорий подведомственных административно-территориальных единиц (проектов районной планировки) определяют цели государственной градостроительной политики с учетом социально-экономических, производственно-хозяйственных и природно-климатических условий на территории данного региона, ее зонирование, а также устанавливают основные направления: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совершенствование системы расселения;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развитие населенных пунктов, производственной, транспортной, инженерной, социальной и рекреационной инфраструктур;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защиту территорий от опасных (вредных) воздействий природных и антропогенных, техногенных явлений и процессов;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улучшение экологической обстановки градостроительными средствами и методами;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сохранение объектов историко-культурного наследия и (или) охраняемых ландшафтных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ограничений на использование территорий определяются функциональное зонирование территорий и интенсивность их использования.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Комплексные схемы градостроительного планирования территорий должны содержать предложения по установлению границ населенных пунктов в данном регионе, пригородных зон, обеспечению ресурсами для комплексного развития территории, включая резервные территории, а также предложения по территориальному транспортному планированию и организации дорожного движения.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Разработка специальной (отраслевой) или иной градорегулирующей документации, используемой при составлении </w:t>
      </w:r>
      <w:r>
        <w:rPr>
          <w:rFonts w:ascii="Times New Roman"/>
          <w:b w:val="false"/>
          <w:i w:val="false"/>
          <w:color w:val="000000"/>
          <w:sz w:val="28"/>
        </w:rPr>
        <w:t>комплексных схем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градостроительного планирования территорий подведомственных административно-территориальных единиц (проектов районной планировки), осуществляется в соответствии с законодательством Республики Казахстан, государственными и межгосударственными нормативами в области архитектуры, градостроительства и строительства, действующими на территории Республики Казахстан, а также требованиями специальных инструкций и отраслевых нормативов. 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Местные исполнительные органы соответствующей области, выступая заказчиком, организуют разработку комплексных схем градостроительного планирования территорий подведомственных административно-территориальных единиц (проектов районной планировки) области и определяют разработчика (генерального проектировщика). 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Заказчик с участием разработчика (генерального проектировщика) составляет задание на проектирование.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требования к заданиям на проектирование и перечень исходных данных устанавливаются государственными нормативами в области архитектуры, градостроительства и строительства (строительными нормами и правилами).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заказчиком ранее выданного задания на проектирование или исходных данных оплата этих работ производится заказчиком по дополнительному договору (соглашению), с учетом полностью или частично выполненных к этому времени проектных работ.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Заказчиком для проектных организаций-субподрядчиков, разрабатывающих специальные разделы в составе комплексных схем градостроительного планирования территорий подведомственных административно-территориальных единиц (проектов районной планировки), является разработчик (генеральный проектировщик), определенный в порядке, установленном законодательством. 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разработке комплексных схем градостроительного планирования территорий подведомственных административно-территориальных единиц (проектов районной планировки) разработчиком (генеральным проектировщиком) выполняются карты-схемы расположения памятников истории, археологии, градостроительства и архитектуры, монументального искусства на территории соответствующей области либо ее части.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комплексных схемах градостроительного планирования территорий подведомственных административно-территориальных единиц (проектов районной планировки) должны учитываться зоны охраны недвижимых памятников истории и культуры и объектов государственного природно-заповедного фонда (охранные зоны, зоны регулирования застройки и зоны охраняемого природного ландшафта). С этой целью на выполняемых в составе проектов графических материалах должны быть нанесены необходимые элементы зон охраны памятников, а в пояснительных записках отражены требования, обеспечивающие установленный режим этих зон.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случаях, когда города и сельские населенные пункты расположены на территории с неблагоприятными природными условиями, в составе комплексных схем градостроительного планирования территорий подведомственных административно-территориальных единиц (проектов районной планировки) разрабатываются проектные решения по инженерной подготовке территории, защите территории и указанных населенных пунктов от опасных геологических и гидрогеологических процессов как естественных, так и вызванных хозяйственной деятельностью человека. 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областей и районов с курортными ресурсами, курортных городов и других населенных пунктов курортного типа проектные работы должны выполняться с учетом материалов по функциональному медицинскому зонированию территории, оценке курортных и рекреационных ресурсов, а также установленных округов санитарной охраны курортов. 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Заказчик в ходе разработки комплексных схем градостроительного планирования территорий подведомственных административно-территориальных единиц (проектов районной планировки) оказывает помощь разработчику (генеральному проектировщику) в проведении обследования территории и объектов проектирования, сборе дополнительных исходных данных, а также проведении согласований законченных проектов.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осуществляет контроль за ходом проектирования, изучает эскизные материалы проектов с целью контроля их качества, приостанавливает в соответствии с договором проектные работы с обязательным оформлением двусторонних актов и проведением соответствующих расчетов с разработчиком (генеральным проектировщиком) за выполненный объем проектной продукции, проводит в установленном порядке экспертизу проектных материалов. 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Комплексные схемы градостроительного планирования территорий подведомственных административно-территориальных единиц (проектов районной планировки) проходят обязательную комплексную градостроительную </w:t>
      </w:r>
      <w:r>
        <w:rPr>
          <w:rFonts w:ascii="Times New Roman"/>
          <w:b w:val="false"/>
          <w:i w:val="false"/>
          <w:color w:val="000000"/>
          <w:sz w:val="28"/>
        </w:rPr>
        <w:t>экспертизу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осуществляемую экспертной группой, образуемой соответствующими местными исполнительными органами. 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