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ba3" w14:textId="c6d2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2004 года N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Рамочному 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Школьника Владимира Сергеевича подписать от имени Правительства Республики Казахстан Протокол 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Рамочному соглашению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Китайской Народной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о развитии всестороннего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нефти и газа от 17 мая 2004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 (далее именуемые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Рамочном 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(далее именуемое "Рамочное соглашение"),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успешной реализации планов по строительству нефтепровода Атасу-Алашанькоу,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Рамочное соглашение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нефтепровод Атасу-Алашанькоу является межгосударственной системой транспортировки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технической однородности и эффективной эксплуатации нефтепровода Атасу-Алашанькоу при заключении контрактов (договоров, соглашений) на проектирование, управление проектом, строительство, эксплуатацию Стороны согласны с применением общепризнанных технических спецификаций, являющихся международно признанными в нефтяной и газовой промышленности.";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5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"Товарищество с ограниченной ответственностью "Казахстанско-Китайский Трубопровод" является организацией, созданной в соответствии с Соглашением об основных принципах строительства нефтепровода Атасу-Алашанькоу между акционерным обществом "Национальная компания "КазМунайГаз" и Китайской Национальной Нефтегазовой Корпорацией от 17 мая 2004 года, основным предметом деятельности которой является проектирование, строительство, эксплуатация нефтепровода Атасу-Алашанькоу.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товаров, работ и услуг товариществом с ограниченной ответственностью "Казахстанско-Китайский Трубопровод" будет осуществляться в соответствии с законодательством Республики Казахстан о государственных закупках, за исключением товаров, работ и услуг, приобретение которых будет осуществляться в соответствии с перечнем, утверждаемым постановлением Правительства Республики Казахстан, по основному предмету деятельности, указанному в настоящей статье, до ввода нефтепровода Атасу-Алашанькоу в эксплуатацию.".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(Прим.РЦПИ. Законодательство РК о государственных закупках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Z020321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V022041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P040284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его подписания и является неотъемлемой частью Рамочного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г.________ "__"____ 2004 года в двух экземплярах, каждый на казахском, китайском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или применению положений настоящего Протокола,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