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fb709" w14:textId="69fb7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распределении сумм целевых текущих трансфертов областным бюджетам на содержание вновь вводимых объектов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декабря 2004 года
N 1452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14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 декабря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республиканском бюджете на 2005 год"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Правила использования целевых текущих трансфертов областным бюджетам, бюджетам городов Астаны и Алматы на содержание вновь вводимых объектов здравоохранения;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распределение сумм целевых текущих трансфертов областным бюджетам на содержание вновь вводимых в 2005 году объектов здравоохранения.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здравоохранения Республики Казахстан обеспечить перечисление целевых текущих трансфертов областным бюджетам в установленном порядке.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Акимам областей: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своевременное и целевое использование выделенных сумм целевых текущих трансфертов;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до 5 числа месяца, следующего за отчетным кварталом, представлять в Министерство здравоохранения Республики Казахстан отчет об использовании выделенных целевых текущих трансфертов.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Исполняющий обязанности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декабря 2004 года N 1452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использования целевых текущих трансфертов областным </w:t>
      </w:r>
      <w:r>
        <w:br/>
      </w:r>
      <w:r>
        <w:rPr>
          <w:rFonts w:ascii="Times New Roman"/>
          <w:b/>
          <w:i w:val="false"/>
          <w:color w:val="000000"/>
        </w:rPr>
        <w:t xml:space="preserve">
бюджетам, бюджетам городов Астаны и Алматы на содержание вновь </w:t>
      </w:r>
      <w:r>
        <w:br/>
      </w:r>
      <w:r>
        <w:rPr>
          <w:rFonts w:ascii="Times New Roman"/>
          <w:b/>
          <w:i w:val="false"/>
          <w:color w:val="000000"/>
        </w:rPr>
        <w:t xml:space="preserve">
вводимых объектов здравоохранения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Настоящие Правила определяют порядок использования целевых текущих трансфертов областным бюджетам, бюджетам городов Астаны и Алматы на содержание вновь вводимых объектов здравоохранения, выделяемых за счет средств республиканского бюджета по республиканской бюджетной программе 027 "Целевые текущие трансферты областным бюджетам, бюджетам городов Астаны и Алматы на содержание вновь вводимых объектов здравоохранения".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Целевые текущие трансферты выделяются на текущие расходы, связанные с содержанием вновь вводимых объектов здравоохранения, за исключением расходов капитального характера, на основании представляемых акимами областей актов приемочных комиссий о приемке объектов здравоохранения в эксплуатацию и решений местных исполнительных органов об открытии объектов здравоохранения.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Местные органы государственного управления здравоохранением, в случаях задержки ввода объекта в эксплуатацию, могут вносить предложения в Министерство здравоохранения Республики Казахстан о перераспределении средств в пределах утвержденной суммы на соответствующий финансовый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Министерство здравоохранения Республики Казахстан представляет Министерству финансов Республики Казахстан отчетность в порядке и сроки, установленные законодательством.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Утверждено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декабря 2004 года N 1452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 Распределение сумм </w:t>
      </w:r>
      <w:r>
        <w:br/>
      </w:r>
      <w:r>
        <w:rPr>
          <w:rFonts w:ascii="Times New Roman"/>
          <w:b/>
          <w:i w:val="false"/>
          <w:color w:val="000000"/>
        </w:rPr>
        <w:t xml:space="preserve">
      целевых текущих трансфертов областным бюджетам на содержание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      вновь вводимых в 2005 году объектов здравоохранения &lt;*&gt;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Распределение сумм - в редакции постановления Правительства РК от 30 июня 2005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661 </w:t>
      </w:r>
      <w:r>
        <w:rPr>
          <w:rFonts w:ascii="Times New Roman"/>
          <w:b w:val="false"/>
          <w:i w:val="false"/>
          <w:color w:val="ff0000"/>
          <w:sz w:val="28"/>
        </w:rPr>
        <w:t xml:space="preserve"> . </w:t>
      </w:r>
    </w:p>
    <w:bookmarkStart w:name="z7"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93"/>
        <w:gridCol w:w="4093"/>
      </w:tblGrid>
      <w:tr>
        <w:trPr>
          <w:trHeight w:val="30" w:hRule="atLeast"/>
        </w:trPr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Сумма, тыс. тенге </w:t>
            </w:r>
          </w:p>
        </w:tc>
      </w:tr>
      <w:tr>
        <w:trPr>
          <w:trHeight w:val="30" w:hRule="atLeast"/>
        </w:trPr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107052,0 </w:t>
            </w:r>
          </w:p>
        </w:tc>
      </w:tr>
      <w:tr>
        <w:trPr>
          <w:trHeight w:val="30" w:hRule="atLeast"/>
        </w:trPr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Актюбинская область 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20681,0 </w:t>
            </w:r>
          </w:p>
        </w:tc>
      </w:tr>
      <w:tr>
        <w:trPr>
          <w:trHeight w:val="30" w:hRule="atLeast"/>
        </w:trPr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Алматинская область 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11391,0 </w:t>
            </w:r>
          </w:p>
        </w:tc>
      </w:tr>
      <w:tr>
        <w:trPr>
          <w:trHeight w:val="30" w:hRule="atLeast"/>
        </w:trPr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Атырауская область 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1465,0 </w:t>
            </w:r>
          </w:p>
        </w:tc>
      </w:tr>
      <w:tr>
        <w:trPr>
          <w:trHeight w:val="30" w:hRule="atLeast"/>
        </w:trPr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Жамбылская область 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36889,0 </w:t>
            </w:r>
          </w:p>
        </w:tc>
      </w:tr>
      <w:tr>
        <w:trPr>
          <w:trHeight w:val="30" w:hRule="atLeast"/>
        </w:trPr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Карагандинская область 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5383,0 </w:t>
            </w:r>
          </w:p>
        </w:tc>
      </w:tr>
      <w:tr>
        <w:trPr>
          <w:trHeight w:val="30" w:hRule="atLeast"/>
        </w:trPr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Костанайская область 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3485,0 </w:t>
            </w:r>
          </w:p>
        </w:tc>
      </w:tr>
      <w:tr>
        <w:trPr>
          <w:trHeight w:val="30" w:hRule="atLeast"/>
        </w:trPr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Кызылординская область 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13782,0 </w:t>
            </w:r>
          </w:p>
        </w:tc>
      </w:tr>
      <w:tr>
        <w:trPr>
          <w:trHeight w:val="30" w:hRule="atLeast"/>
        </w:trPr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Мангистауская область 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5267,0 </w:t>
            </w:r>
          </w:p>
        </w:tc>
      </w:tr>
      <w:tr>
        <w:trPr>
          <w:trHeight w:val="30" w:hRule="atLeast"/>
        </w:trPr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Павлодарская область 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8709,0 </w:t>
            </w:r>
          </w:p>
        </w:tc>
      </w:tr>
    </w:tbl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