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aa89" w14:textId="26fa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2004 года N 197х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декабря 2003 года N 1327 "Об утверждении паспортов республиканских бюджетных программ на 2004 год"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2004 года N 197х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декабря 2003 года N 1327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101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004 "Хранение историко-культурных ценностей"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10485 тысяч тенге (десять миллионов четыреста восемьдесят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июля 2000 года "О Первом Президенте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июля 1992 года "Об охране и использовании историко-культурного наследия",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декабря 1996 года "О культуре",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мая 2002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1282 "Об утверждении Реестра должностей административных государственных служащих по категориям",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2004 года N 1431 "О создании музея Первого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сохранности, учета, комплектования, изучения и использования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сохранности историко-культурных ценностей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004        Хранение    Обеспечение содержания    В те- 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историко-   Музея Первого Президента  чение 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культурных  Республики Казахстан      года   Прези-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ценностей   в пределах штатной               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численности 40 единиц.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Приобретение 4 факсов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6 бумагоуничтожителей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культурологическое и научно- методическое обеспечение процесса аккумуляции и изучения историко-культурной и социально-политической информации на основе комплексного сбора, систематизации, хранения, исследования и популяризации материалов, касающихся жизни, государственной и общественной деятельности Первого Президента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