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4d36a" w14:textId="f64d3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налогообложения"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апреля 2005 года N 391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внести на рассмотрение Мажилиса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налогообложения".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 О внесении изменений и дополнений в некоторые </w:t>
      </w:r>
      <w:r>
        <w:br/>
      </w:r>
      <w:r>
        <w:rPr>
          <w:rFonts w:ascii="Times New Roman"/>
          <w:b/>
          <w:i w:val="false"/>
          <w:color w:val="000000"/>
        </w:rPr>
        <w:t xml:space="preserve">
законодательные акты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вопросам налогообложения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Статья 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изменения и дополнения в следующие законодательные акты Республики Казахстан: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об административных правонарушениях от 30 января 2001 г. (Ведомости Парламента Республики Казахстан, 2001 г., N 5-6, ст. 24; N 17-18, ст. 241; N 21-22, ст. 281; 2002 г, N 4, ст. 33; N 17, ст. 155; 2003 г., N 1-2, ст. 3; N 4, ст. 25; N 5, ст. 30; N 11, ст. 56, 64, 68; N 14, ст. 109; N 15, ст. 122, 139; N 18, ст. 142; N 21-22, ст. 160; N 23, ст. 171; 2004 г., N 6, ст. 42; N 10, ст. 55; N 15, ст. 87; N 17, ст. 97; N 23, ст. 139, ст. 140; N 24, ст. 153; 2005 г., N 5, ст. 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статье 207: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абзац второй части первой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"влечет штраф на должностных лиц - в размере от двадцати до пятидесяти месячных расчетных показателей, на физических лиц, на индивидуальных предпринимателей и на юридических лиц - в размере ста пятидесяти процентов от суммы налогов и других обязательных платежей, подлежащих уплате по сокрытому объекту налогообложения.";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абзац второй части второй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"влекут штраф на должностных лиц - в размере от пятидесяти до семидесяти месячных расчетных показателей, на физических лиц, на индивидуальных предпринимателей и на юридических лиц - в размере двухсот процентов от суммы налогов и других обязательных платежей, подлежащих уплате по сокрытому объекту налогообложения.".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12 июня 2001 г. "О налогах и других обязательных платежах в бюджет" (Налоговый кодекс) (Ведомости Парламента Республики Казахстан, 2001 г., N 11-12, ст. 168; 2002 г., N 6, ст. 73, 75; N 19-20, ст. 171; 2003 г., N 1-2, ст. 6; N 4, ст. 25; N 11, ст. 56; N 15, ст. 133, 139; N 21-22, ст. 160; N 24, ст. 178; 2004 г., N 5, ст. 30; N 14, ст. 82; N 20, ст. 116; N 23, ст. 140, ст. 142; N 24, ст. 15):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в статье 140-1: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части первой: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подпункте 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абзац первый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"3) не менее 90 процентов совокупного годового дохода которых составляют доходы, подлежащие получению (полученные) от реализации товаров собственного производства (работ, услуг), по следующим видам деятельности, соответствующим целям создания специальной экономической зоны:";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абзацах третьем и четвертом слова и (или)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дополнить абзацами пятым - седьмым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"производство готовых текстильных изделий, кроме одежды;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производство трикотажных изделий;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производство одежды из текстильных материалов.";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часть вторую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"Перечень конкретных видов товаров (работ, услуг), указанных в подпункте 3) настоящего пункта, определяется Правительством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дополнить пунктом 1-1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"1-1. К организациям, осуществляющим деятельность на территориях специальных экономических зон, не 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недропользователи;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организации, производящие подакцизные товары;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организации, применяющие специальные налоговые режимы;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организации, которым предоставлены инвестиционные налоговые преференции.";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2) в статье 140-2: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части первой пункта 2 цифры "50" заменить цифрами "100";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 3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"5. Обороты по реализации на территориях специальных экономических зон товаров (работ, услуг), указанных в части второй пункта 1 статьи 140-1 настоящего Кодекса, а также объектов строительства и (или) строительно-монтажных работ по объектам административного и производственного назначения в соответствии с проектно-сметной документацией, предназначенным для осуществления на территориях специальных экономических зон видов деятельности, указанных в подпункте 3) пункта 1 статьи 140-1 настоящего Кодекса, освобождаются от налога на добавленную стоимость.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Для целей настоящей главы к объектам административного и производственного назначения относятся офисные, промышленные здания и склады.";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3) в пункте 3 статьи 208 слова "12 000-кратную заменить словами 15 000-кратную";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4) дополнить статьей 224-1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"Статья 224-1. Налогообложение товаров, реализуемых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территорию специальных экономических зон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Реализация на территорию специальных экономических зон товаров, полностью потребляемых в процессе строительства и ввода в эксплуатацию объектов административного и производственного назначения в соответствии с проектно-сметной документацией, предназначенных для осуществления на территориях специальных экономических зон видов деятельности, указанных в подпункте 3) пункта 1 статьи 140-1 настоящего Кодекса, облагается налогом на добавленную стоимость по нулевой ставке.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Для целей настоящего пункта под товарами, полностью потребляемыми в процессе строительства, понимаются товары, непосредственно вовлеченные в процесс возведения объектов административного и производственного назначения, за исключением электроэнергии, бензина, дизельного топлива и воды.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Превышение суммы налога, относимого в зачет, над суммой начисленного налога за отчетный период по оборотам, указанным в пункте 1 настоящей статьи, возвращается налогоплательщику по его заявлению в установленные сроки в части фактически потребленных в процессе строительства объектов административного и производственного назначения ввезенных товаров после получения подтверждения от налогового органа на территории специальной экономической зоны. Основанием для подтверждения является документ об использовании в процессе строительства объектов административного и производственного назначения ввезенных товаров, который выдается по запросу налогового органа, находящегося на территории специальной экономической зоны, исполнительным органом, созданным на территории специальной экономической зоны.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Основанием для применения нулевой ставки по налогу на добавленную стоимость в соответствии с настоящей статьей является: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договор (контракт) на поставку товаров с организациями, осуществляющими на территории специальной экономической зоны строительство объектов, указанных в пункте 1 настоящей статьи;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копии грузовой таможенной декларации, с отметками таможенного органа, осуществляющего выпуск товаров в таможенном режиме свободной таможенной зоны;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копии товаросопроводительных документов, подтверждающих отгрузку товаров организациям, указанным в подпункте 1) настоящего пункта;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копии документов, подтверждающих получение товаров организациями, указанными в подпункте 1) настоящего пункта.";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5) часть первую статьи 225 дополнить подпунктом 18)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"18) товаров, реализуемых на территорию специальных экономических зон, потребляемых в процессе осуществления на территориях специальных экономических зон видов деятельности, указанных в подпункте 3) пункта 1 статьи 140-1 настоящего Кодекса.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Перечень товаров, указанных в настоящем подпункте, утверждается Правительством Республики Казахстан.";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6) в пункте 2 статьи 245 цифры "224" заменить цифрами "224-1";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7) пункт 1 статьи 252 дополнить подпунктом 2-1)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"2-1) документов, необходимых в соответствии со статьей 224-1 настоящего Кодекса для подтверждения реализации товаров на территорию специальных экономических зон;";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8) в статье 312-1: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часть вторую пункта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"Вышеперечисленные триггеры определяются в соответствии с методикой, указанной в пунктах 4-6 настоящей статьи. Полученный результат каждого из триггеров сопоставляется с пороговыми значениями, определяемыми в контракте о разделе продукции, для определения процентного значения доли в прибыльной продукции, которая подлежит передаче недропользователю.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Конкретные процентные значения доли недропользователя в прибыльной продукции, определенные в контракте о разделе продукции в зависимости от экономических показателей проекта в границах, предусмотренных настоящей статьей, сохраняются без изменений в течение срока действия контракта, до внесения в него соответствующих изменений в порядке, предусмотренном статьей 285 настоящего Кодекса.";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абзацы пятый, шестой, седьмой и восьмой пункта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"Процентные значения доли недропользователя в прибыльной продукции, соответствующие указанным пороговым значениям, и необходимые для определения доли недропользователя в прибыльной продукции, устанавливаются в контракте о разделе продукции в следующих границах: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3"/>
        <w:gridCol w:w="6413"/>
      </w:tblGrid>
      <w:tr>
        <w:trPr>
          <w:trHeight w:val="450" w:hRule="atLeast"/>
        </w:trPr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R-фактора (показателя доходности)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Процентное 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доли недропользователя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прибыльной продукции </w:t>
            </w:r>
          </w:p>
        </w:tc>
      </w:tr>
      <w:tr>
        <w:trPr>
          <w:trHeight w:val="450" w:hRule="atLeast"/>
        </w:trPr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меньше или равно 1,2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70 до 90 процентов </w:t>
            </w:r>
          </w:p>
        </w:tc>
      </w:tr>
      <w:tr>
        <w:trPr>
          <w:trHeight w:val="450" w:hRule="atLeast"/>
        </w:trPr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больше или равно 1,5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процентов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В случае, если полученное значение R-фактора (показателя доходности) более 1,2 и менее 1,5, то доля недропользователя в прибыльной продукции рассчитывается по следующей формуле: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доля недропользователя в прибыльной продукции = (А% - (А% - 10%)/0,3 * (X - 1,2) * 100%), где: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 - процентное значение доли недропользователя в прибыльной продукции, указанное в контракте о разделе продукции, соответствующее значению R-фактора (показателя доходности) меньше или равно 1,2;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X - фактически полученное значение R-фактора (показателя доходности) за период реализации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Значение R-фактора (показателя доходности) определяется с точностью до второго знака после запятой.";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абзацы семнадцатый - двадцатый пункта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"Процентные значения доли недропользователя в прибыльной продукции, соответствующие указанным пороговым значениям, и необходимые для определения доли недропользователя в прибыльной продукции, устанавливаются в контракте о разделе продукции в следующих границах: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3"/>
        <w:gridCol w:w="5853"/>
      </w:tblGrid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внутренней нормы рентабельности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(ВНР) 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Процентное 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доли недропользователя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прибыльной продукции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или равно 12 процентам 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70 до 90 процентов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или равно 20 процентам 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процентов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В случае, если полученное значение внутренней нормы рентабельности (ВНР) более двенадцати процентов и менее двадцати процентов, то доля недропользователя в прибыльной продукции рассчитывается по следующей формуле: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доля недропользователя в прибыльной продукции = (А% - (А% - 10%)/8% * (X - 12%)), где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 - процентное значение доли недропользователя в прибыльной продукции, указанное в контракте о разделе продукции, соответствующе значению внутренней нормы рентабельности (ВНР) меньше или равно 1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X - фактически полученное значение внутренней норм рентабельности (ВНР) за период реализации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Значение внутренней нормы рентабельности (ВНР) определяется с точностью до второго знака после запятой.";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"6. Р-фактор (ценовой коэффициент) определяется как отношение суммы реальной стоимости компенсационной продукции за отчетный период и реальной стоимости доли прибыльной продукции недропользователя за отчетный период к объему добычи нефти за отчетный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Процентные значения доли недропользователя в прибыльной продукции, соответствующие указанным пороговым значениям, и необходимые для определения доли недропользователя в прибыльной продукции, устанавливаются в контракте о разделе продукции в следующих границах: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3"/>
        <w:gridCol w:w="6293"/>
      </w:tblGrid>
      <w:tr>
        <w:trPr>
          <w:trHeight w:val="30" w:hRule="atLeast"/>
        </w:trPr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Р-фактора (ценового коэффициента)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Процентное значение доли недропользователя в прибыльной продукции </w:t>
            </w:r>
          </w:p>
        </w:tc>
      </w:tr>
      <w:tr>
        <w:trPr>
          <w:trHeight w:val="690" w:hRule="atLeast"/>
        </w:trPr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или равно 12 долларам США за 1 баррель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70 до 90 процентов </w:t>
            </w:r>
          </w:p>
        </w:tc>
      </w:tr>
      <w:tr>
        <w:trPr>
          <w:trHeight w:val="30" w:hRule="atLeast"/>
        </w:trPr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или равно 27 долларам США за 1 баррель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процентов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В случае, если полученное значение Р-фактора (ценового коэффициента) более 12 долларов США и менее 27 долларов США за 1 баррель, то доля недропользователя в прибыльной продукции рассчитывается по следующей формуле: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доля недропользователя в прибыльной продукции = (А% - (А% -10%)/15 * (X - 12) * 100%), где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 - процентное значение доли недропользователя в прибыльной продукции, указанное в контракте о разделе продукции, соответствующее значению Р-фактора (ценового коэффициента) меньше или равно 12 долларам США за баррель;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X - фактически полученное значение Р-фактора (ценового коэффициента) за период реализации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Значение Р-фактора (ценового коэффициента) определяется с точностью до второго знака после запятой.";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9) пункты 1 и 2 статьи 314-5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"1. При исполнении контракта о разделе продукции доля поступлений государства в каждом налоговом периоде с момента начала добычи до момента возврата вложенных инвестиций не должна быть менее значения, установленного контрактом о разделе продукции в интервале от пяти до десяти процентов, и менее сорока процентов от объема продукции, полученной недропользователем в налоговом периоде, в последующих периодах.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Доля поступлений государства для целей настоящей статьи означает исполненные налоговые обязательства недропользователя за налоговый период, представляющие собой долю Республики Казахстан по разделу продукции, налоги и другие обязательные платежи в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Доля поступлений государства не включает налог на добавленную стоимость и налоги, в отношении которых недропользователь выступает в качестве налогового агента.";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10) в статье 355: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слова "пункте 2" заменить словами "пунктах 2 и 2-1";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слова "и индивидуальные предприниматели"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дополнить пунктом 1-1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"1-1. Индивидуальные предприниматели исчисляют налог на имущество по ставке 0,5 процента к среднегодовой стоимости объектов налогообложения.";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дополнить пунктом 2-1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"2-1. Юридические лица, применяющие специальный налоговый режим на основе упрощенной декларации, исчисляют налог на имущество по ставке 0,5 процента к среднегодовой стоимости объектов налогообложения.";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11) статью 357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"Статья 357. Исчисление и уплата налога в отдельных случаях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В случае, когда индивидуальный предприниматель осуществляет предпринимательскую деятельность в помещениях, находящихся в составе жилого фонда, налог по данным помещениям исчисляется и уплачивается по ставкам и в порядке, предусмотренным статьями 361-367 настоящего Кодекса.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В случае, когда индивидуальный предприниматель осуществляет предпринимательскую деятельность в помещениях, выведенных из состава жилого фонда в установленном законодательством порядке, налог по данным помещениям исчисляется и уплачивается по ставкам и в порядке, установленным настоящей главой.";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12) статью 365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"Статья 365. Налоговые ставки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Налог на имущество физических лиц исчисляется в зависимости от стоимости объектов налогообложения по следующим ставкам: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3"/>
        <w:gridCol w:w="6233"/>
      </w:tblGrid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"1) до 5 000 000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включительно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0,05 процента от 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налогообложения 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свыше 5 000 000 тенге по 10 000 000 тенге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2 500 тенге + 0,1% с суммы, превышающей 5 000 000 тенге; 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свыше 10 000 000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15 000 000 тенге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7 500 тенге + 0,15% с суммы,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превышающей 10 000 000 тенге; 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свыше 15 000 000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20 000 000 тенге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тенге + 0,2% с суммы,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превышающей 15 000 000 тенге; 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свыше 20 000 000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25 000 000 тенге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тенге + 0,25% с суммы,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превышающей 20 000 000 тенге; 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свыше 25 000 000 тенге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37 500 тенге + 0,3% с суммы,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превышающей 25 000 000 тенге." 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13) в пункте 2 статьи 376: в подпункте 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абзаце втором слово "пятнадцать" заменить словами "двадцать пять";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абзаце третьем цифры "4500,0" заменить цифрами "9000,0";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подпункте 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абзаце втором слова "двадцать пять" заменить словом "пятьдесят";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абзаце третьем цифры "9000,0" заменить цифрами "20000,0";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14) пункты 2 и 3 статьи 377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Доход индивидуального предпринимателя подлежит обложению по следующим ставкам: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3"/>
        <w:gridCol w:w="6113"/>
      </w:tblGrid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 за квартал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Ставка </w:t>
            </w:r>
          </w:p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3000,0 тыс. тенге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процента с суммы дохода </w:t>
            </w:r>
          </w:p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3000,0 тыс. тенге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6000,0 тыс. тенге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90,0 тыс. тенге + 5 процентов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суммы дохода, превышающей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3000,0 тыс. тенге </w:t>
            </w:r>
          </w:p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6000,0 тыс. тенге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240,0 тыс. тенге + 7 процентов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суммы дохода, превышающей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6000,0 тыс. тенге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3. Доход юридического лица подлежит обложению по следующим ставкам: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3"/>
        <w:gridCol w:w="6213"/>
      </w:tblGrid>
      <w:tr>
        <w:trPr>
          <w:trHeight w:val="30" w:hRule="atLeast"/>
        </w:trPr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 за квартал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Ставка </w:t>
            </w:r>
          </w:p>
        </w:tc>
      </w:tr>
      <w:tr>
        <w:trPr>
          <w:trHeight w:val="30" w:hRule="atLeast"/>
        </w:trPr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3000,0 тыс. тенге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процента с суммы дохода </w:t>
            </w:r>
          </w:p>
        </w:tc>
      </w:tr>
      <w:tr>
        <w:trPr>
          <w:trHeight w:val="30" w:hRule="atLeast"/>
        </w:trPr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3000,0 тыс. тенге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7000,0 тыс. тенге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120,0 тыс. тенге + 5 процентов с суммы дохода, превышающей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3000,0 тыс. тенге </w:t>
            </w:r>
          </w:p>
        </w:tc>
      </w:tr>
      <w:tr>
        <w:trPr>
          <w:trHeight w:val="30" w:hRule="atLeast"/>
        </w:trPr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7000,0 тыс. тенге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14000,0 тыс. тенге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320,0 тыс. тенге + 7 процентов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суммы дохода, превышающей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7000,0 тыс. тенге </w:t>
            </w:r>
          </w:p>
        </w:tc>
      </w:tr>
      <w:tr>
        <w:trPr>
          <w:trHeight w:val="30" w:hRule="atLeast"/>
        </w:trPr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14000,0 тыс. тенге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810,0 тыс. тенге + 9 процентов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суммы дохода, превышающей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14000,0 тыс. тенге 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Статья 2.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Настоящий Закон вводится в действие с 1 января 2006 года.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