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8e6a" w14:textId="d608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рыночной цены реализуемых сырой нефти, газового конденсата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N 864.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см. п. 2 настоящего постановления (дата введения в действие)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278-3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рыночной цены реализуемых сырой нефти, газового конденсата.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2005 года для юридических лиц и по истечении десяти календарных дней после его первого официального опубликования для физических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2005 года N 864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рыночной цены реализуемых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сырой нефти, газового конденсата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278-3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и предусматривают порядок определения рыночной цены сырой нефти, газового конденсата, реализуемых на экспорт налогоплательщиками, за исключением недропользователей, заключивших контракты о разделе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Рыночная цена реализуемых сырой нефти, газового конденсата определяется как среднеарифметическое значение ежедневных котировок Юралс Средиземноморье (Urals Med) и Датированный Брент (Brent Dtd) в налоговом периоде в соответствии с информацией, публикуемой в источнике Platts Crude Oil Marketwire компании Mcgraw-Нill Companies Ink.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Ежедневная среднеарифметическая рыночная цена реализуемых сырой нефти, газового конденсата определяется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Р=(С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+С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)/2;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ежедневная среднеарифметическая рыночная цена реализуемых сырой нефти, газового конденсата;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ежедневная среднеарифметическая рыночная цена реализуемых сырой нефти, газового конденсата на момент открытия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ежедневная среднеарифметическая рыночная цена реализуемых сырой нефти, газового конденсата на момент закрытия биржи.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определяется по следующим формулам: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=(С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ю.с.1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+С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д.б.1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)/2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=(С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ю.с.2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+С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д.б.2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)/2;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ю.с.1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котировка Юралс Средиземноморье на момент открытия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ю.с.2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котировка Юралс Средиземноморье на момент закрытия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д.б.1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котировка Датированный Брент на момент открытия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д.б.2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котировка Датированный Брент на момент закрытия биржи.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Рыночная цена реализуемых сырой нефти, газового конденсата за налоговый период определяется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S=(P+P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+...+Р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)/n;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рыночная цена реализуемых сырой нефти, газового конденсата за налоговый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ежедневная среднеарифметическая рыночная цена реализуемых сырой нефти, газового конденсата в дни публикации таких котировок в течение налогового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дней публикации таких котировок в течение налогового периода.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