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dc87" w14:textId="54ed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к налоговой базе для исчисления роялти при строительстве и (или) эксплуатации подземных сооружений, не связанных с разведкой и (или) добычей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2005 года N 1312 (Дату вступления в силу смотрите пункт 2 настоящего постановления). Утратило силу постановлением Правительства Республики Казахстан от 25 марта 2007 года N 227.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25.03.2007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297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к налоговой базе для исчисления роялти при строительстве и (или) эксплуатации подземных сооружений, не связанных с разведкой и (или) добычей полезных ископаемых.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2005 года для юридических лиц и   по истечении десяти календарных дней после его первого официального опубликования для физических лиц.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61"/>
        <w:gridCol w:w="1439"/>
      </w:tblGrid>
      <w:tr>
        <w:trPr>
          <w:trHeight w:val="30" w:hRule="atLeast"/>
        </w:trPr>
        <w:tc>
          <w:tcPr>
            <w:tcW w:w="10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Премьер-Миниcтр  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2005 года N 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 налоговой базе для исчисления роялти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строительстве и (или) эксплуатации подземных сооружений, </w:t>
      </w:r>
      <w:r>
        <w:br/>
      </w:r>
      <w:r>
        <w:rPr>
          <w:rFonts w:ascii="Times New Roman"/>
          <w:b/>
          <w:i w:val="false"/>
          <w:color w:val="000000"/>
        </w:rPr>
        <w:t>не связанных с разведкой и (или) добычей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Ставки роялти при строительстве и (или) эксплуатации подземных сооружений для хранения нефти и газа: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4"/>
        <w:gridCol w:w="2996"/>
      </w:tblGrid>
      <w:tr>
        <w:trPr>
          <w:trHeight w:val="30" w:hRule="atLeast"/>
        </w:trPr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обложения,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роялти за      использование недр,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5000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5000-10000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10000-15000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15000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роялти при строительстве и (или) эксплуатации подземных инженерных сооружений для захоронения радиоактивных отходов, вредных веществ: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5"/>
        <w:gridCol w:w="6775"/>
      </w:tblGrid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обложения,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роялти за      использование недр, тенге/тыс.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30-45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45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роялти при строительстве и (или) эксплуатации подземных инженерных сооружений для захоронения сточных вод: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1"/>
        <w:gridCol w:w="6259"/>
      </w:tblGrid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обложения,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роялти за      использование недр, тенге/млн.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50-100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100 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