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f2d" w14:textId="07f2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об обмене информацией по контролю за трансфертным ценообразованием между налоговыми и таможенными органами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Протокол об обмене информацией по контролю за трансфертным ценообразованием между налоговыми и таможенными органами государств-членов Евразийского экономического сообщества, совершенный в городе Москве 6 июня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обмене информацией по контролю за трансфертным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ценообразованием между налоговыми и таможенными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 (далее - ЕврАзЭС),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об обмене информацией между налоговыми и таможенными органами государств-членов Евразийского экономического сообщества от 25 января 2002 года.,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 Таможенном союзе - и Едином экономическом пространстве от 26 февраля 1999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от 10 октября 2000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усилении контроля за ввозом и вывозом товаров (работ, услуг), своевременным и полным поступлением налогов, пошлин и иных платежей в государственные бюджеты государств-членов Евразийского экономического сообщества (ЕврАзЭС),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осуществления государственного контроля при применении трансфертных цен на территории государств-членов ЕврАзЭС,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совершенствования налогового и таможенного контроля за международными сделками, совершаемыми хозяйствующими субъектами государств-членов ЕврАзЭС, а также за сделками, при совершении которых территории государств-членов ЕврАзЭС используются как транзитный коридор, обмена информацией между налоговыми и таможенными органами государств-членов ЕврАзЭС,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содействие,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Протоколе, означают следующее: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"рыночная (свободная) цена"
</w:t>
      </w:r>
      <w:r>
        <w:rPr>
          <w:rFonts w:ascii="Times New Roman"/>
          <w:b w:val="false"/>
          <w:i w:val="false"/>
          <w:color w:val="000000"/>
          <w:sz w:val="28"/>
        </w:rPr>
        <w:t>
 - рыночной (свободной) ценой товара (работ, услуг) признается цена, сложившаяся при взаимодействии спроса и предложения на национальном рынке идентичных товаров (работ, услуг), а при их отсутствии - однородных товаров (работ, услуг) в сопоставимых экономических (коммерческих) условиях;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"идентичные товары (работы, услуги)"
</w:t>
      </w:r>
      <w:r>
        <w:rPr>
          <w:rFonts w:ascii="Times New Roman"/>
          <w:b w:val="false"/>
          <w:i w:val="false"/>
          <w:color w:val="000000"/>
          <w:sz w:val="28"/>
        </w:rPr>
        <w:t>
 - товары (работы, услуги), имеющие одинаковые основные признаки. При определении идентичности товаров учитываются, в частности, их физические характеристики, качество, репутация на рынке, страна происхождения, производитель. При этом незначительные различия во внешнем виде товаров могут не учитываться;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"однородные товары (работы, услуги)"
</w:t>
      </w:r>
      <w:r>
        <w:rPr>
          <w:rFonts w:ascii="Times New Roman"/>
          <w:b w:val="false"/>
          <w:i w:val="false"/>
          <w:color w:val="000000"/>
          <w:sz w:val="28"/>
        </w:rPr>
        <w:t>
 - товары (работы, услуги), которые, не являясь идентичными, имеют сходные характеристики и (или) состоят из сходных компонентов, что позволяет им выполнять те же функции и быть коммерчески взаимозаменяемыми. При определении однородности товаров учитываются, в частности, их качество, наличие товарного знака, репутация на рынке, страна происхождения;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"трансфертная цена"
</w:t>
      </w:r>
      <w:r>
        <w:rPr>
          <w:rFonts w:ascii="Times New Roman"/>
          <w:b w:val="false"/>
          <w:i w:val="false"/>
          <w:color w:val="000000"/>
          <w:sz w:val="28"/>
        </w:rPr>
        <w:t>
 - цена на товары (работы, услуги), которая отличается от объективно сформированной при совершении международных сделок рыночной (свободной) цены;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"компетентные органы"
</w:t>
      </w:r>
      <w:r>
        <w:rPr>
          <w:rFonts w:ascii="Times New Roman"/>
          <w:b w:val="false"/>
          <w:i w:val="false"/>
          <w:color w:val="000000"/>
          <w:sz w:val="28"/>
        </w:rPr>
        <w:t>
 - налоговые и таможенные органы государств-членов ЕврАзЭС;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"контроль за трансфертным ценообразованием" -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контроль, осуществляемый компетентными органами для установления факта применения трансфертных цен на товары (работы, услуги) при совершении международных сделок с целью дальнейшей корректировки налоговой базы в соответствии с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государств-членов ЕврАзЭС в пределах своей компетенции предоставляют налоговым органам своих государств для передачи в налоговые органы государств-членов ЕврАзЭС необходимую информацию о товарах, которые: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ввозятся на территорию государства и остаются постоянно на этой территории без обязательства относительно их вывоза с нее;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вывозятся за пределы территории государства без обязательства относительно их ввоза на эту территорию;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перемещаются по территории государств-членов ЕврАзЭС транзитом;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ввозятся на территорию государства и вывозятся за пределы этой территории для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указанная в пункте 1 настоящей статьи, предоставляется по запросу, составленному по форме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Налоговые органы государств-членов ЕврАзЭС в пределах своей компетенции при соблюдении законодательства своих государств в целях контроля за трансфертным ценообразованием обмениваются информацией, касающейся: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расходов, связанных с доставкой товаров (транспортные расходы, страхование, предэкспортное кредитование и т.д.) потребителям, находящимся на территории государств-членов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сроков и условий доставки отгруженных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сроков и условий оплаты доставки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качества поставляемых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ценообразования в отношении продуктов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рыночных цен на товары (работы, услуги), сложившихся на рынках государств-членов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тарифов на перевозку, хранение и переработку товаров на территории государств-членов ЕврАзЭС;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других сведений, необходимых для осуществления контроля за трансфертным ценообразованием.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 информации, касающейся товаров (работ, услуг), определяется запрашивающим налоговым органом государства-члена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Обмен информацией между налоговыми органами государств-членов ЕврАзЭС, заверенной в установленном порядке руководителем соответствующего налогового органа, осуществляется в письменном (на бумажных носителях) или в электронном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Налоговые органы государств-членов ЕврАзЭС предоставляют информацию, указанную в пункте 1 настоящей статьи, таможенным органам своих государств в соответствии с их запросами.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статьях 2 и 3 настоящего Протокола, предоставляется налоговым органом государства-члена ЕврАзЭС не позднее 30 календарных дней со дня получения запроса.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государств-членов ЕврАзЭС соблюдают конфиденциальность полученной информации и обеспечивают режим ее защиты в соответствии с национальным законодательством государств-членов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государств-членов ЕврАзЭС не допускают передачи информации третьим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настоящий Протокол могут вноситься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относительно толкования и применения положений настоящего Протокола решаются путем переговоров и консультаций между Сторонами. В случае недостижения согласия спор передается на рассмотрение в суд ЕврАзЭС.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настоящий Протокол вступает в силу со дня сдачи соответствующего письменного уведомления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Москва 6 июня 2006 года в одном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сообщества, который направит каждой Стороне, подписавшей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Беларусь                            Казахстан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 За Правительство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            Российской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            Федерации             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Протоколу об обмене информацией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контролю за трансфертным ценообразованием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налоговыми и таможенными органами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ЕврАзЭС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Типовая форма предоставления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633"/>
        <w:gridCol w:w="1273"/>
        <w:gridCol w:w="1233"/>
        <w:gridCol w:w="1393"/>
        <w:gridCol w:w="1253"/>
        <w:gridCol w:w="1133"/>
        <w:gridCol w:w="1333"/>
        <w:gridCol w:w="1333"/>
        <w:gridCol w:w="1333"/>
      </w:tblGrid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(ГТД)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ГТД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265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(счета-про-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 (счета-про-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влении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533"/>
        <w:gridCol w:w="1533"/>
        <w:gridCol w:w="1153"/>
        <w:gridCol w:w="1333"/>
        <w:gridCol w:w="1553"/>
        <w:gridCol w:w="1393"/>
        <w:gridCol w:w="1373"/>
        <w:gridCol w:w="22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измер.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об обмене информацией по контролю за трансфертным ценообразованием между налоговыми и таможенными органами государств-членов Евразийского экономического сообщества, подписанного 6 июня 2006 года в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